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5BF58A">
      <w:pPr>
        <w:pageBreakBefore w:val="0"/>
        <w:kinsoku/>
        <w:overflowPunct/>
        <w:topLinePunct w:val="0"/>
        <w:autoSpaceDE/>
        <w:autoSpaceDN/>
        <w:bidi w:val="0"/>
        <w:adjustRightInd w:val="0"/>
        <w:snapToGrid w:val="0"/>
        <w:spacing w:line="360" w:lineRule="auto"/>
        <w:jc w:val="center"/>
        <w:textAlignment w:val="auto"/>
        <w:rPr>
          <w:rFonts w:hint="eastAsia" w:ascii="黑体" w:hAnsi="黑体" w:eastAsia="黑体" w:cs="黑体"/>
          <w:b/>
          <w:bCs/>
          <w:sz w:val="60"/>
          <w:szCs w:val="60"/>
          <w:lang w:val="en-US"/>
        </w:rPr>
      </w:pPr>
      <w:bookmarkStart w:id="0" w:name="_Hlk209900494"/>
      <w:r>
        <w:rPr>
          <w:rFonts w:hint="eastAsia" w:ascii="黑体" w:hAnsi="黑体" w:eastAsia="黑体" w:cs="黑体"/>
          <w:b/>
          <w:bCs/>
          <w:sz w:val="60"/>
          <w:szCs w:val="60"/>
        </w:rPr>
        <w:t>2026</w:t>
      </w:r>
      <w:r>
        <w:rPr>
          <w:rFonts w:hint="eastAsia" w:ascii="黑体" w:hAnsi="黑体" w:eastAsia="黑体" w:cs="黑体"/>
          <w:b/>
          <w:bCs/>
          <w:sz w:val="60"/>
          <w:szCs w:val="60"/>
          <w:lang w:val="en-US" w:eastAsia="zh-CN"/>
        </w:rPr>
        <w:t>年《全芯征途》任务说明</w:t>
      </w:r>
    </w:p>
    <w:bookmarkEnd w:id="0"/>
    <w:p w14:paraId="5222FC86">
      <w:pPr>
        <w:pStyle w:val="82"/>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z w:val="44"/>
          <w:szCs w:val="44"/>
        </w:rPr>
      </w:pPr>
      <w:r>
        <w:rPr>
          <w:rFonts w:hint="eastAsia" w:ascii="仿宋_GB2312" w:hAnsi="仿宋_GB2312" w:eastAsia="仿宋_GB2312" w:cs="仿宋_GB2312"/>
          <w:sz w:val="44"/>
          <w:szCs w:val="44"/>
        </w:rPr>
        <w:t>目 录</w:t>
      </w:r>
    </w:p>
    <w:p w14:paraId="3093D921">
      <w:pPr>
        <w:pStyle w:val="16"/>
        <w:tabs>
          <w:tab w:val="right" w:leader="dot" w:pos="9072"/>
          <w:tab w:val="clear" w:pos="420"/>
          <w:tab w:val="clear" w:pos="8296"/>
        </w:tabs>
        <w:rPr>
          <w:sz w:val="32"/>
          <w:szCs w:val="22"/>
        </w:rPr>
      </w:pPr>
      <w:r>
        <w:rPr>
          <w:rFonts w:hint="eastAsia" w:ascii="仿宋_GB2312" w:hAnsi="仿宋_GB2312" w:eastAsia="仿宋_GB2312" w:cs="仿宋_GB2312"/>
          <w:b w:val="0"/>
          <w:bCs w:val="0"/>
          <w:sz w:val="40"/>
          <w:szCs w:val="40"/>
        </w:rPr>
        <w:fldChar w:fldCharType="begin"/>
      </w:r>
      <w:r>
        <w:rPr>
          <w:rFonts w:hint="eastAsia" w:ascii="仿宋_GB2312" w:hAnsi="仿宋_GB2312" w:eastAsia="仿宋_GB2312" w:cs="仿宋_GB2312"/>
          <w:b w:val="0"/>
          <w:bCs w:val="0"/>
          <w:sz w:val="40"/>
          <w:szCs w:val="40"/>
        </w:rPr>
        <w:instrText xml:space="preserve"> TOC \o "1-2" \h \z \u </w:instrText>
      </w:r>
      <w:r>
        <w:rPr>
          <w:rFonts w:hint="eastAsia" w:ascii="仿宋_GB2312" w:hAnsi="仿宋_GB2312" w:eastAsia="仿宋_GB2312" w:cs="仿宋_GB2312"/>
          <w:b w:val="0"/>
          <w:bCs w:val="0"/>
          <w:sz w:val="40"/>
          <w:szCs w:val="40"/>
        </w:rPr>
        <w:fldChar w:fldCharType="separate"/>
      </w:r>
      <w:r>
        <w:rPr>
          <w:rFonts w:hint="eastAsia" w:ascii="仿宋_GB2312" w:hAnsi="仿宋_GB2312" w:eastAsia="仿宋_GB2312" w:cs="仿宋_GB2312"/>
          <w:bCs w:val="0"/>
          <w:sz w:val="32"/>
          <w:szCs w:val="40"/>
        </w:rPr>
        <w:fldChar w:fldCharType="begin"/>
      </w:r>
      <w:r>
        <w:rPr>
          <w:rFonts w:hint="eastAsia" w:ascii="仿宋_GB2312" w:hAnsi="仿宋_GB2312" w:eastAsia="仿宋_GB2312" w:cs="仿宋_GB2312"/>
          <w:bCs w:val="0"/>
          <w:sz w:val="32"/>
          <w:szCs w:val="40"/>
        </w:rPr>
        <w:instrText xml:space="preserve"> HYPERLINK \l _Toc5498 </w:instrText>
      </w:r>
      <w:r>
        <w:rPr>
          <w:rFonts w:hint="eastAsia" w:ascii="仿宋_GB2312" w:hAnsi="仿宋_GB2312" w:eastAsia="仿宋_GB2312" w:cs="仿宋_GB2312"/>
          <w:bCs w:val="0"/>
          <w:sz w:val="32"/>
          <w:szCs w:val="40"/>
        </w:rPr>
        <w:fldChar w:fldCharType="separate"/>
      </w:r>
      <w:r>
        <w:rPr>
          <w:rFonts w:hint="default" w:ascii="黑体" w:hAnsi="黑体" w:eastAsia="黑体" w:cs="黑体"/>
          <w:sz w:val="32"/>
          <w:szCs w:val="48"/>
        </w:rPr>
        <w:t xml:space="preserve">1. </w:t>
      </w:r>
      <w:r>
        <w:rPr>
          <w:rFonts w:hint="eastAsia" w:ascii="仿宋_GB2312" w:hAnsi="仿宋_GB2312" w:eastAsia="仿宋_GB2312" w:cs="仿宋_GB2312"/>
          <w:sz w:val="32"/>
          <w:szCs w:val="48"/>
          <w:lang w:val="en-US" w:eastAsia="zh-CN"/>
        </w:rPr>
        <w:t>低年级组</w:t>
      </w:r>
      <w:r>
        <w:rPr>
          <w:rFonts w:hint="eastAsia" w:ascii="仿宋_GB2312" w:hAnsi="仿宋_GB2312" w:eastAsia="仿宋_GB2312" w:cs="仿宋_GB2312"/>
          <w:sz w:val="32"/>
          <w:szCs w:val="48"/>
        </w:rPr>
        <w:t>赛项基本信息</w:t>
      </w:r>
      <w:r>
        <w:rPr>
          <w:sz w:val="32"/>
          <w:szCs w:val="22"/>
        </w:rPr>
        <w:tab/>
      </w:r>
      <w:r>
        <w:rPr>
          <w:sz w:val="32"/>
          <w:szCs w:val="22"/>
        </w:rPr>
        <w:fldChar w:fldCharType="begin"/>
      </w:r>
      <w:r>
        <w:rPr>
          <w:sz w:val="32"/>
          <w:szCs w:val="22"/>
        </w:rPr>
        <w:instrText xml:space="preserve"> PAGEREF _Toc5498 \h </w:instrText>
      </w:r>
      <w:r>
        <w:rPr>
          <w:sz w:val="32"/>
          <w:szCs w:val="22"/>
        </w:rPr>
        <w:fldChar w:fldCharType="separate"/>
      </w:r>
      <w:r>
        <w:rPr>
          <w:sz w:val="32"/>
          <w:szCs w:val="22"/>
        </w:rPr>
        <w:t>1</w:t>
      </w:r>
      <w:r>
        <w:rPr>
          <w:sz w:val="32"/>
          <w:szCs w:val="22"/>
        </w:rPr>
        <w:fldChar w:fldCharType="end"/>
      </w:r>
      <w:r>
        <w:rPr>
          <w:rFonts w:hint="eastAsia" w:ascii="仿宋_GB2312" w:hAnsi="仿宋_GB2312" w:eastAsia="仿宋_GB2312" w:cs="仿宋_GB2312"/>
          <w:bCs w:val="0"/>
          <w:sz w:val="32"/>
          <w:szCs w:val="40"/>
        </w:rPr>
        <w:fldChar w:fldCharType="end"/>
      </w:r>
    </w:p>
    <w:p w14:paraId="13B1019D">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_Toc17620 </w:instrText>
      </w:r>
      <w:r>
        <w:rPr>
          <w:rFonts w:hint="eastAsia" w:ascii="仿宋_GB2312" w:hAnsi="仿宋_GB2312" w:eastAsia="仿宋_GB2312" w:cs="仿宋_GB2312"/>
          <w:bCs/>
          <w:sz w:val="32"/>
          <w:szCs w:val="40"/>
        </w:rPr>
        <w:fldChar w:fldCharType="separate"/>
      </w:r>
      <w:r>
        <w:rPr>
          <w:rFonts w:hint="default" w:ascii="黑体" w:hAnsi="黑体" w:eastAsia="黑体" w:cs="黑体"/>
          <w:sz w:val="32"/>
          <w:szCs w:val="48"/>
        </w:rPr>
        <w:t xml:space="preserve">2. </w:t>
      </w:r>
      <w:r>
        <w:rPr>
          <w:rFonts w:hint="eastAsia" w:ascii="仿宋_GB2312" w:hAnsi="仿宋_GB2312" w:eastAsia="仿宋_GB2312" w:cs="仿宋_GB2312"/>
          <w:sz w:val="32"/>
          <w:szCs w:val="48"/>
          <w:lang w:val="en-US" w:eastAsia="zh-CN"/>
        </w:rPr>
        <w:t>机器人制作规范</w:t>
      </w:r>
      <w:r>
        <w:rPr>
          <w:sz w:val="32"/>
          <w:szCs w:val="22"/>
        </w:rPr>
        <w:tab/>
      </w:r>
      <w:r>
        <w:rPr>
          <w:sz w:val="32"/>
          <w:szCs w:val="22"/>
        </w:rPr>
        <w:fldChar w:fldCharType="begin"/>
      </w:r>
      <w:r>
        <w:rPr>
          <w:sz w:val="32"/>
          <w:szCs w:val="22"/>
        </w:rPr>
        <w:instrText xml:space="preserve"> PAGEREF _Toc17620 \h </w:instrText>
      </w:r>
      <w:r>
        <w:rPr>
          <w:sz w:val="32"/>
          <w:szCs w:val="22"/>
        </w:rPr>
        <w:fldChar w:fldCharType="separate"/>
      </w:r>
      <w:r>
        <w:rPr>
          <w:sz w:val="32"/>
          <w:szCs w:val="22"/>
        </w:rPr>
        <w:t>2</w:t>
      </w:r>
      <w:r>
        <w:rPr>
          <w:sz w:val="32"/>
          <w:szCs w:val="22"/>
        </w:rPr>
        <w:fldChar w:fldCharType="end"/>
      </w:r>
      <w:r>
        <w:rPr>
          <w:rFonts w:hint="eastAsia" w:ascii="仿宋_GB2312" w:hAnsi="仿宋_GB2312" w:eastAsia="仿宋_GB2312" w:cs="仿宋_GB2312"/>
          <w:bCs/>
          <w:sz w:val="32"/>
          <w:szCs w:val="40"/>
        </w:rPr>
        <w:fldChar w:fldCharType="end"/>
      </w:r>
    </w:p>
    <w:p w14:paraId="7E2BC0C2">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_Toc21206 </w:instrText>
      </w:r>
      <w:r>
        <w:rPr>
          <w:rFonts w:hint="eastAsia" w:ascii="仿宋_GB2312" w:hAnsi="仿宋_GB2312" w:eastAsia="仿宋_GB2312" w:cs="仿宋_GB2312"/>
          <w:bCs/>
          <w:sz w:val="32"/>
          <w:szCs w:val="40"/>
        </w:rPr>
        <w:fldChar w:fldCharType="separate"/>
      </w:r>
      <w:r>
        <w:rPr>
          <w:rFonts w:hint="default" w:ascii="黑体" w:hAnsi="黑体" w:eastAsia="黑体" w:cs="黑体"/>
          <w:sz w:val="32"/>
          <w:szCs w:val="48"/>
          <w:lang w:val="en-US" w:eastAsia="zh-CN"/>
        </w:rPr>
        <w:t>3</w:t>
      </w:r>
      <w:bookmarkStart w:id="35" w:name="_GoBack"/>
      <w:bookmarkEnd w:id="35"/>
      <w:r>
        <w:rPr>
          <w:rFonts w:hint="default" w:ascii="黑体" w:hAnsi="黑体" w:eastAsia="黑体" w:cs="黑体"/>
          <w:sz w:val="32"/>
          <w:szCs w:val="48"/>
          <w:lang w:val="en-US" w:eastAsia="zh-CN"/>
        </w:rPr>
        <w:t xml:space="preserve">. </w:t>
      </w:r>
      <w:r>
        <w:rPr>
          <w:rFonts w:hint="eastAsia" w:ascii="仿宋_GB2312" w:hAnsi="仿宋_GB2312" w:eastAsia="仿宋_GB2312" w:cs="仿宋_GB2312"/>
          <w:sz w:val="32"/>
          <w:szCs w:val="48"/>
          <w:lang w:val="en-US" w:eastAsia="zh-CN"/>
        </w:rPr>
        <w:t>比赛场地及道具</w:t>
      </w:r>
      <w:r>
        <w:rPr>
          <w:sz w:val="32"/>
          <w:szCs w:val="22"/>
        </w:rPr>
        <w:tab/>
      </w:r>
      <w:r>
        <w:rPr>
          <w:sz w:val="32"/>
          <w:szCs w:val="22"/>
        </w:rPr>
        <w:fldChar w:fldCharType="begin"/>
      </w:r>
      <w:r>
        <w:rPr>
          <w:sz w:val="32"/>
          <w:szCs w:val="22"/>
        </w:rPr>
        <w:instrText xml:space="preserve"> PAGEREF _Toc21206 \h </w:instrText>
      </w:r>
      <w:r>
        <w:rPr>
          <w:sz w:val="32"/>
          <w:szCs w:val="22"/>
        </w:rPr>
        <w:fldChar w:fldCharType="separate"/>
      </w:r>
      <w:r>
        <w:rPr>
          <w:sz w:val="32"/>
          <w:szCs w:val="22"/>
        </w:rPr>
        <w:t>3</w:t>
      </w:r>
      <w:r>
        <w:rPr>
          <w:sz w:val="32"/>
          <w:szCs w:val="22"/>
        </w:rPr>
        <w:fldChar w:fldCharType="end"/>
      </w:r>
      <w:r>
        <w:rPr>
          <w:rFonts w:hint="eastAsia" w:ascii="仿宋_GB2312" w:hAnsi="仿宋_GB2312" w:eastAsia="仿宋_GB2312" w:cs="仿宋_GB2312"/>
          <w:bCs/>
          <w:sz w:val="32"/>
          <w:szCs w:val="40"/>
        </w:rPr>
        <w:fldChar w:fldCharType="end"/>
      </w:r>
    </w:p>
    <w:p w14:paraId="559EE99B">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_Toc13969 </w:instrText>
      </w:r>
      <w:r>
        <w:rPr>
          <w:rFonts w:hint="eastAsia" w:ascii="仿宋_GB2312" w:hAnsi="仿宋_GB2312" w:eastAsia="仿宋_GB2312" w:cs="仿宋_GB2312"/>
          <w:bCs/>
          <w:sz w:val="24"/>
          <w:szCs w:val="40"/>
        </w:rPr>
        <w:fldChar w:fldCharType="separate"/>
      </w:r>
      <w:r>
        <w:rPr>
          <w:rFonts w:hint="eastAsia" w:ascii="仿宋_GB2312" w:hAnsi="仿宋_GB2312" w:eastAsia="仿宋_GB2312" w:cs="仿宋_GB2312"/>
          <w:sz w:val="24"/>
          <w:szCs w:val="44"/>
          <w:lang w:val="en-US" w:eastAsia="zh-CN"/>
        </w:rPr>
        <w:t xml:space="preserve">3.1 </w:t>
      </w:r>
      <w:r>
        <w:rPr>
          <w:rFonts w:hint="eastAsia" w:ascii="仿宋_GB2312" w:hAnsi="仿宋_GB2312" w:eastAsia="仿宋_GB2312" w:cs="仿宋_GB2312"/>
          <w:sz w:val="24"/>
          <w:szCs w:val="44"/>
        </w:rPr>
        <w:t>场地说明</w:t>
      </w:r>
      <w:r>
        <w:rPr>
          <w:sz w:val="24"/>
          <w:szCs w:val="22"/>
        </w:rPr>
        <w:tab/>
      </w:r>
      <w:r>
        <w:rPr>
          <w:sz w:val="24"/>
          <w:szCs w:val="22"/>
        </w:rPr>
        <w:fldChar w:fldCharType="begin"/>
      </w:r>
      <w:r>
        <w:rPr>
          <w:sz w:val="24"/>
          <w:szCs w:val="22"/>
        </w:rPr>
        <w:instrText xml:space="preserve"> PAGEREF _Toc13969 \h </w:instrText>
      </w:r>
      <w:r>
        <w:rPr>
          <w:sz w:val="24"/>
          <w:szCs w:val="22"/>
        </w:rPr>
        <w:fldChar w:fldCharType="separate"/>
      </w:r>
      <w:r>
        <w:rPr>
          <w:sz w:val="24"/>
          <w:szCs w:val="22"/>
        </w:rPr>
        <w:t>3</w:t>
      </w:r>
      <w:r>
        <w:rPr>
          <w:sz w:val="24"/>
          <w:szCs w:val="22"/>
        </w:rPr>
        <w:fldChar w:fldCharType="end"/>
      </w:r>
      <w:r>
        <w:rPr>
          <w:rFonts w:hint="eastAsia" w:ascii="仿宋_GB2312" w:hAnsi="仿宋_GB2312" w:eastAsia="仿宋_GB2312" w:cs="仿宋_GB2312"/>
          <w:bCs/>
          <w:sz w:val="24"/>
          <w:szCs w:val="40"/>
        </w:rPr>
        <w:fldChar w:fldCharType="end"/>
      </w:r>
    </w:p>
    <w:p w14:paraId="18EEB5C4">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_Toc31822 </w:instrText>
      </w:r>
      <w:r>
        <w:rPr>
          <w:rFonts w:hint="eastAsia" w:ascii="仿宋_GB2312" w:hAnsi="仿宋_GB2312" w:eastAsia="仿宋_GB2312" w:cs="仿宋_GB2312"/>
          <w:bCs/>
          <w:sz w:val="24"/>
          <w:szCs w:val="40"/>
        </w:rPr>
        <w:fldChar w:fldCharType="separate"/>
      </w:r>
      <w:r>
        <w:rPr>
          <w:rFonts w:hint="eastAsia" w:ascii="仿宋_GB2312" w:hAnsi="仿宋_GB2312" w:eastAsia="仿宋_GB2312" w:cs="仿宋_GB2312"/>
          <w:bCs w:val="0"/>
          <w:sz w:val="24"/>
          <w:szCs w:val="44"/>
          <w:lang w:val="en-US" w:eastAsia="zh-CN"/>
        </w:rPr>
        <w:t>3</w:t>
      </w:r>
      <w:r>
        <w:rPr>
          <w:rFonts w:hint="eastAsia" w:ascii="仿宋_GB2312" w:hAnsi="仿宋_GB2312" w:eastAsia="仿宋_GB2312" w:cs="仿宋_GB2312"/>
          <w:bCs w:val="0"/>
          <w:sz w:val="24"/>
          <w:szCs w:val="44"/>
        </w:rPr>
        <w:t>.2 道具清单</w:t>
      </w:r>
      <w:r>
        <w:rPr>
          <w:sz w:val="24"/>
          <w:szCs w:val="22"/>
        </w:rPr>
        <w:tab/>
      </w:r>
      <w:r>
        <w:rPr>
          <w:sz w:val="24"/>
          <w:szCs w:val="22"/>
        </w:rPr>
        <w:fldChar w:fldCharType="begin"/>
      </w:r>
      <w:r>
        <w:rPr>
          <w:sz w:val="24"/>
          <w:szCs w:val="22"/>
        </w:rPr>
        <w:instrText xml:space="preserve"> PAGEREF _Toc31822 \h </w:instrText>
      </w:r>
      <w:r>
        <w:rPr>
          <w:sz w:val="24"/>
          <w:szCs w:val="22"/>
        </w:rPr>
        <w:fldChar w:fldCharType="separate"/>
      </w:r>
      <w:r>
        <w:rPr>
          <w:sz w:val="24"/>
          <w:szCs w:val="22"/>
        </w:rPr>
        <w:t>4</w:t>
      </w:r>
      <w:r>
        <w:rPr>
          <w:sz w:val="24"/>
          <w:szCs w:val="22"/>
        </w:rPr>
        <w:fldChar w:fldCharType="end"/>
      </w:r>
      <w:r>
        <w:rPr>
          <w:rFonts w:hint="eastAsia" w:ascii="仿宋_GB2312" w:hAnsi="仿宋_GB2312" w:eastAsia="仿宋_GB2312" w:cs="仿宋_GB2312"/>
          <w:bCs/>
          <w:sz w:val="24"/>
          <w:szCs w:val="40"/>
        </w:rPr>
        <w:fldChar w:fldCharType="end"/>
      </w:r>
    </w:p>
    <w:p w14:paraId="38C677F1">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_Toc18877 </w:instrText>
      </w:r>
      <w:r>
        <w:rPr>
          <w:rFonts w:hint="eastAsia" w:ascii="仿宋_GB2312" w:hAnsi="仿宋_GB2312" w:eastAsia="仿宋_GB2312" w:cs="仿宋_GB2312"/>
          <w:bCs/>
          <w:sz w:val="32"/>
          <w:szCs w:val="40"/>
        </w:rPr>
        <w:fldChar w:fldCharType="separate"/>
      </w:r>
      <w:r>
        <w:rPr>
          <w:rFonts w:hint="default" w:ascii="黑体" w:hAnsi="黑体" w:eastAsia="黑体" w:cs="黑体"/>
          <w:sz w:val="32"/>
          <w:szCs w:val="48"/>
          <w:lang w:val="en-US" w:eastAsia="zh-CN"/>
        </w:rPr>
        <w:t xml:space="preserve">4. </w:t>
      </w:r>
      <w:r>
        <w:rPr>
          <w:rFonts w:hint="eastAsia" w:ascii="仿宋_GB2312" w:hAnsi="仿宋_GB2312" w:eastAsia="仿宋_GB2312" w:cs="仿宋_GB2312"/>
          <w:sz w:val="32"/>
          <w:szCs w:val="48"/>
          <w:lang w:val="en-US" w:eastAsia="zh-CN"/>
        </w:rPr>
        <w:t>任务介绍及得分判定</w:t>
      </w:r>
      <w:r>
        <w:rPr>
          <w:sz w:val="32"/>
          <w:szCs w:val="22"/>
        </w:rPr>
        <w:tab/>
      </w:r>
      <w:r>
        <w:rPr>
          <w:sz w:val="32"/>
          <w:szCs w:val="22"/>
        </w:rPr>
        <w:fldChar w:fldCharType="begin"/>
      </w:r>
      <w:r>
        <w:rPr>
          <w:sz w:val="32"/>
          <w:szCs w:val="22"/>
        </w:rPr>
        <w:instrText xml:space="preserve"> PAGEREF _Toc18877 \h </w:instrText>
      </w:r>
      <w:r>
        <w:rPr>
          <w:sz w:val="32"/>
          <w:szCs w:val="22"/>
        </w:rPr>
        <w:fldChar w:fldCharType="separate"/>
      </w:r>
      <w:r>
        <w:rPr>
          <w:sz w:val="32"/>
          <w:szCs w:val="22"/>
        </w:rPr>
        <w:t>5</w:t>
      </w:r>
      <w:r>
        <w:rPr>
          <w:sz w:val="32"/>
          <w:szCs w:val="22"/>
        </w:rPr>
        <w:fldChar w:fldCharType="end"/>
      </w:r>
      <w:r>
        <w:rPr>
          <w:rFonts w:hint="eastAsia" w:ascii="仿宋_GB2312" w:hAnsi="仿宋_GB2312" w:eastAsia="仿宋_GB2312" w:cs="仿宋_GB2312"/>
          <w:bCs/>
          <w:sz w:val="32"/>
          <w:szCs w:val="40"/>
        </w:rPr>
        <w:fldChar w:fldCharType="end"/>
      </w:r>
    </w:p>
    <w:p w14:paraId="157A98C6">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_Toc28970 </w:instrText>
      </w:r>
      <w:r>
        <w:rPr>
          <w:rFonts w:hint="eastAsia" w:ascii="仿宋_GB2312" w:hAnsi="仿宋_GB2312" w:eastAsia="仿宋_GB2312" w:cs="仿宋_GB2312"/>
          <w:bCs/>
          <w:sz w:val="32"/>
          <w:szCs w:val="40"/>
        </w:rPr>
        <w:fldChar w:fldCharType="separate"/>
      </w:r>
      <w:r>
        <w:rPr>
          <w:rFonts w:hint="eastAsia" w:ascii="黑体" w:hAnsi="黑体" w:eastAsia="黑体" w:cs="黑体"/>
          <w:sz w:val="32"/>
          <w:szCs w:val="48"/>
          <w:lang w:val="en-US" w:eastAsia="zh-CN"/>
        </w:rPr>
        <w:t>5</w:t>
      </w:r>
      <w:r>
        <w:rPr>
          <w:rFonts w:hint="eastAsia" w:ascii="仿宋_GB2312" w:hAnsi="仿宋_GB2312" w:eastAsia="仿宋_GB2312" w:cs="仿宋_GB2312"/>
          <w:sz w:val="32"/>
          <w:szCs w:val="48"/>
          <w:lang w:val="en-US" w:eastAsia="zh-CN"/>
        </w:rPr>
        <w:t>. 高年级组赛项基本信息</w:t>
      </w:r>
      <w:r>
        <w:rPr>
          <w:sz w:val="32"/>
          <w:szCs w:val="22"/>
        </w:rPr>
        <w:tab/>
      </w:r>
      <w:r>
        <w:rPr>
          <w:sz w:val="32"/>
          <w:szCs w:val="22"/>
        </w:rPr>
        <w:fldChar w:fldCharType="begin"/>
      </w:r>
      <w:r>
        <w:rPr>
          <w:sz w:val="32"/>
          <w:szCs w:val="22"/>
        </w:rPr>
        <w:instrText xml:space="preserve"> PAGEREF _Toc28970 \h </w:instrText>
      </w:r>
      <w:r>
        <w:rPr>
          <w:sz w:val="32"/>
          <w:szCs w:val="22"/>
        </w:rPr>
        <w:fldChar w:fldCharType="separate"/>
      </w:r>
      <w:r>
        <w:rPr>
          <w:sz w:val="32"/>
          <w:szCs w:val="22"/>
        </w:rPr>
        <w:t>7</w:t>
      </w:r>
      <w:r>
        <w:rPr>
          <w:sz w:val="32"/>
          <w:szCs w:val="22"/>
        </w:rPr>
        <w:fldChar w:fldCharType="end"/>
      </w:r>
      <w:r>
        <w:rPr>
          <w:rFonts w:hint="eastAsia" w:ascii="仿宋_GB2312" w:hAnsi="仿宋_GB2312" w:eastAsia="仿宋_GB2312" w:cs="仿宋_GB2312"/>
          <w:bCs/>
          <w:sz w:val="32"/>
          <w:szCs w:val="40"/>
        </w:rPr>
        <w:fldChar w:fldCharType="end"/>
      </w:r>
    </w:p>
    <w:p w14:paraId="31E3600F">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_Toc18597 </w:instrText>
      </w:r>
      <w:r>
        <w:rPr>
          <w:rFonts w:hint="eastAsia" w:ascii="仿宋_GB2312" w:hAnsi="仿宋_GB2312" w:eastAsia="仿宋_GB2312" w:cs="仿宋_GB2312"/>
          <w:bCs/>
          <w:sz w:val="32"/>
          <w:szCs w:val="40"/>
        </w:rPr>
        <w:fldChar w:fldCharType="separate"/>
      </w:r>
      <w:r>
        <w:rPr>
          <w:rFonts w:hint="eastAsia" w:ascii="黑体" w:hAnsi="黑体" w:eastAsia="黑体" w:cs="黑体"/>
          <w:sz w:val="32"/>
          <w:szCs w:val="48"/>
          <w:lang w:val="en-US" w:eastAsia="zh-CN"/>
        </w:rPr>
        <w:t>6</w:t>
      </w:r>
      <w:r>
        <w:rPr>
          <w:rFonts w:hint="eastAsia" w:ascii="仿宋_GB2312" w:hAnsi="仿宋_GB2312" w:eastAsia="仿宋_GB2312" w:cs="仿宋_GB2312"/>
          <w:sz w:val="32"/>
          <w:szCs w:val="48"/>
          <w:lang w:val="en-US" w:eastAsia="zh-CN"/>
        </w:rPr>
        <w:t>. 比赛内容</w:t>
      </w:r>
      <w:r>
        <w:rPr>
          <w:sz w:val="32"/>
          <w:szCs w:val="22"/>
        </w:rPr>
        <w:tab/>
      </w:r>
      <w:r>
        <w:rPr>
          <w:sz w:val="32"/>
          <w:szCs w:val="22"/>
        </w:rPr>
        <w:fldChar w:fldCharType="begin"/>
      </w:r>
      <w:r>
        <w:rPr>
          <w:sz w:val="32"/>
          <w:szCs w:val="22"/>
        </w:rPr>
        <w:instrText xml:space="preserve"> PAGEREF _Toc18597 \h </w:instrText>
      </w:r>
      <w:r>
        <w:rPr>
          <w:sz w:val="32"/>
          <w:szCs w:val="22"/>
        </w:rPr>
        <w:fldChar w:fldCharType="separate"/>
      </w:r>
      <w:r>
        <w:rPr>
          <w:sz w:val="32"/>
          <w:szCs w:val="22"/>
        </w:rPr>
        <w:t>8</w:t>
      </w:r>
      <w:r>
        <w:rPr>
          <w:sz w:val="32"/>
          <w:szCs w:val="22"/>
        </w:rPr>
        <w:fldChar w:fldCharType="end"/>
      </w:r>
      <w:r>
        <w:rPr>
          <w:rFonts w:hint="eastAsia" w:ascii="仿宋_GB2312" w:hAnsi="仿宋_GB2312" w:eastAsia="仿宋_GB2312" w:cs="仿宋_GB2312"/>
          <w:bCs/>
          <w:sz w:val="32"/>
          <w:szCs w:val="40"/>
        </w:rPr>
        <w:fldChar w:fldCharType="end"/>
      </w:r>
    </w:p>
    <w:p w14:paraId="37A56EFE">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_Toc8738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6.1. </w:t>
      </w:r>
      <w:r>
        <w:rPr>
          <w:rFonts w:hint="eastAsia" w:ascii="仿宋_GB2312" w:hAnsi="仿宋_GB2312" w:eastAsia="仿宋_GB2312" w:cs="仿宋_GB2312"/>
          <w:sz w:val="24"/>
          <w:szCs w:val="44"/>
        </w:rPr>
        <w:t>场地说明</w:t>
      </w:r>
      <w:r>
        <w:rPr>
          <w:sz w:val="24"/>
          <w:szCs w:val="22"/>
        </w:rPr>
        <w:tab/>
      </w:r>
      <w:r>
        <w:rPr>
          <w:sz w:val="24"/>
          <w:szCs w:val="22"/>
        </w:rPr>
        <w:fldChar w:fldCharType="begin"/>
      </w:r>
      <w:r>
        <w:rPr>
          <w:sz w:val="24"/>
          <w:szCs w:val="22"/>
        </w:rPr>
        <w:instrText xml:space="preserve"> PAGEREF _Toc8738 \h </w:instrText>
      </w:r>
      <w:r>
        <w:rPr>
          <w:sz w:val="24"/>
          <w:szCs w:val="22"/>
        </w:rPr>
        <w:fldChar w:fldCharType="separate"/>
      </w:r>
      <w:r>
        <w:rPr>
          <w:sz w:val="24"/>
          <w:szCs w:val="22"/>
        </w:rPr>
        <w:t>8</w:t>
      </w:r>
      <w:r>
        <w:rPr>
          <w:sz w:val="24"/>
          <w:szCs w:val="22"/>
        </w:rPr>
        <w:fldChar w:fldCharType="end"/>
      </w:r>
      <w:r>
        <w:rPr>
          <w:rFonts w:hint="eastAsia" w:ascii="仿宋_GB2312" w:hAnsi="仿宋_GB2312" w:eastAsia="仿宋_GB2312" w:cs="仿宋_GB2312"/>
          <w:bCs/>
          <w:sz w:val="24"/>
          <w:szCs w:val="40"/>
        </w:rPr>
        <w:fldChar w:fldCharType="end"/>
      </w:r>
    </w:p>
    <w:p w14:paraId="7AD94953">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_Toc23119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6.2. </w:t>
      </w:r>
      <w:r>
        <w:rPr>
          <w:rFonts w:hint="eastAsia" w:ascii="仿宋_GB2312" w:hAnsi="仿宋_GB2312" w:eastAsia="仿宋_GB2312" w:cs="仿宋_GB2312"/>
          <w:sz w:val="24"/>
          <w:szCs w:val="44"/>
        </w:rPr>
        <w:t>道具清单</w:t>
      </w:r>
      <w:r>
        <w:rPr>
          <w:sz w:val="24"/>
          <w:szCs w:val="22"/>
        </w:rPr>
        <w:tab/>
      </w:r>
      <w:r>
        <w:rPr>
          <w:sz w:val="24"/>
          <w:szCs w:val="22"/>
        </w:rPr>
        <w:fldChar w:fldCharType="begin"/>
      </w:r>
      <w:r>
        <w:rPr>
          <w:sz w:val="24"/>
          <w:szCs w:val="22"/>
        </w:rPr>
        <w:instrText xml:space="preserve"> PAGEREF _Toc23119 \h </w:instrText>
      </w:r>
      <w:r>
        <w:rPr>
          <w:sz w:val="24"/>
          <w:szCs w:val="22"/>
        </w:rPr>
        <w:fldChar w:fldCharType="separate"/>
      </w:r>
      <w:r>
        <w:rPr>
          <w:sz w:val="24"/>
          <w:szCs w:val="22"/>
        </w:rPr>
        <w:t>11</w:t>
      </w:r>
      <w:r>
        <w:rPr>
          <w:sz w:val="24"/>
          <w:szCs w:val="22"/>
        </w:rPr>
        <w:fldChar w:fldCharType="end"/>
      </w:r>
      <w:r>
        <w:rPr>
          <w:rFonts w:hint="eastAsia" w:ascii="仿宋_GB2312" w:hAnsi="仿宋_GB2312" w:eastAsia="仿宋_GB2312" w:cs="仿宋_GB2312"/>
          <w:bCs/>
          <w:sz w:val="24"/>
          <w:szCs w:val="40"/>
        </w:rPr>
        <w:fldChar w:fldCharType="end"/>
      </w:r>
    </w:p>
    <w:p w14:paraId="33708707">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_Toc30344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6.3. </w:t>
      </w:r>
      <w:r>
        <w:rPr>
          <w:rFonts w:hint="eastAsia" w:ascii="仿宋_GB2312" w:hAnsi="仿宋_GB2312" w:eastAsia="仿宋_GB2312" w:cs="仿宋_GB2312"/>
          <w:sz w:val="24"/>
          <w:szCs w:val="44"/>
        </w:rPr>
        <w:t>任务介绍及得分判定</w:t>
      </w:r>
      <w:r>
        <w:rPr>
          <w:sz w:val="24"/>
          <w:szCs w:val="22"/>
        </w:rPr>
        <w:tab/>
      </w:r>
      <w:r>
        <w:rPr>
          <w:sz w:val="24"/>
          <w:szCs w:val="22"/>
        </w:rPr>
        <w:fldChar w:fldCharType="begin"/>
      </w:r>
      <w:r>
        <w:rPr>
          <w:sz w:val="24"/>
          <w:szCs w:val="22"/>
        </w:rPr>
        <w:instrText xml:space="preserve"> PAGEREF _Toc30344 \h </w:instrText>
      </w:r>
      <w:r>
        <w:rPr>
          <w:sz w:val="24"/>
          <w:szCs w:val="22"/>
        </w:rPr>
        <w:fldChar w:fldCharType="separate"/>
      </w:r>
      <w:r>
        <w:rPr>
          <w:sz w:val="24"/>
          <w:szCs w:val="22"/>
        </w:rPr>
        <w:t>22</w:t>
      </w:r>
      <w:r>
        <w:rPr>
          <w:sz w:val="24"/>
          <w:szCs w:val="22"/>
        </w:rPr>
        <w:fldChar w:fldCharType="end"/>
      </w:r>
      <w:r>
        <w:rPr>
          <w:rFonts w:hint="eastAsia" w:ascii="仿宋_GB2312" w:hAnsi="仿宋_GB2312" w:eastAsia="仿宋_GB2312" w:cs="仿宋_GB2312"/>
          <w:bCs/>
          <w:sz w:val="24"/>
          <w:szCs w:val="40"/>
        </w:rPr>
        <w:fldChar w:fldCharType="end"/>
      </w:r>
    </w:p>
    <w:p w14:paraId="54AE8E0F">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_Toc23434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6.4. </w:t>
      </w:r>
      <w:r>
        <w:rPr>
          <w:rFonts w:hint="eastAsia" w:ascii="仿宋_GB2312" w:hAnsi="仿宋_GB2312" w:eastAsia="仿宋_GB2312" w:cs="仿宋_GB2312"/>
          <w:sz w:val="24"/>
          <w:szCs w:val="44"/>
        </w:rPr>
        <w:t>计分说明</w:t>
      </w:r>
      <w:r>
        <w:rPr>
          <w:sz w:val="24"/>
          <w:szCs w:val="22"/>
        </w:rPr>
        <w:tab/>
      </w:r>
      <w:r>
        <w:rPr>
          <w:sz w:val="24"/>
          <w:szCs w:val="22"/>
        </w:rPr>
        <w:fldChar w:fldCharType="begin"/>
      </w:r>
      <w:r>
        <w:rPr>
          <w:sz w:val="24"/>
          <w:szCs w:val="22"/>
        </w:rPr>
        <w:instrText xml:space="preserve"> PAGEREF _Toc23434 \h </w:instrText>
      </w:r>
      <w:r>
        <w:rPr>
          <w:sz w:val="24"/>
          <w:szCs w:val="22"/>
        </w:rPr>
        <w:fldChar w:fldCharType="separate"/>
      </w:r>
      <w:r>
        <w:rPr>
          <w:sz w:val="24"/>
          <w:szCs w:val="22"/>
        </w:rPr>
        <w:t>33</w:t>
      </w:r>
      <w:r>
        <w:rPr>
          <w:sz w:val="24"/>
          <w:szCs w:val="22"/>
        </w:rPr>
        <w:fldChar w:fldCharType="end"/>
      </w:r>
      <w:r>
        <w:rPr>
          <w:rFonts w:hint="eastAsia" w:ascii="仿宋_GB2312" w:hAnsi="仿宋_GB2312" w:eastAsia="仿宋_GB2312" w:cs="仿宋_GB2312"/>
          <w:bCs/>
          <w:sz w:val="24"/>
          <w:szCs w:val="40"/>
        </w:rPr>
        <w:fldChar w:fldCharType="end"/>
      </w:r>
    </w:p>
    <w:p w14:paraId="0A7E5FDB">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_Toc10161 </w:instrText>
      </w:r>
      <w:r>
        <w:rPr>
          <w:rFonts w:hint="eastAsia" w:ascii="仿宋_GB2312" w:hAnsi="仿宋_GB2312" w:eastAsia="仿宋_GB2312" w:cs="仿宋_GB2312"/>
          <w:bCs/>
          <w:sz w:val="24"/>
          <w:szCs w:val="40"/>
        </w:rPr>
        <w:fldChar w:fldCharType="separate"/>
      </w:r>
      <w:r>
        <w:rPr>
          <w:rFonts w:hint="eastAsia" w:ascii="仿宋_GB2312" w:hAnsi="仿宋_GB2312" w:eastAsia="仿宋_GB2312" w:cs="仿宋_GB2312"/>
          <w:bCs/>
          <w:kern w:val="2"/>
          <w:sz w:val="24"/>
          <w:szCs w:val="44"/>
          <w:lang w:val="en-US" w:eastAsia="zh-CN" w:bidi="ar-SA"/>
        </w:rPr>
        <w:t>6.5.</w:t>
      </w:r>
      <w:r>
        <w:rPr>
          <w:rFonts w:hint="eastAsia" w:ascii="仿宋_GB2312" w:hAnsi="仿宋_GB2312" w:eastAsia="仿宋_GB2312" w:cs="仿宋_GB2312"/>
          <w:sz w:val="24"/>
          <w:szCs w:val="44"/>
        </w:rPr>
        <w:t>单场比赛流程</w:t>
      </w:r>
      <w:r>
        <w:rPr>
          <w:sz w:val="24"/>
          <w:szCs w:val="22"/>
        </w:rPr>
        <w:tab/>
      </w:r>
      <w:r>
        <w:rPr>
          <w:sz w:val="24"/>
          <w:szCs w:val="22"/>
        </w:rPr>
        <w:fldChar w:fldCharType="begin"/>
      </w:r>
      <w:r>
        <w:rPr>
          <w:sz w:val="24"/>
          <w:szCs w:val="22"/>
        </w:rPr>
        <w:instrText xml:space="preserve"> PAGEREF _Toc10161 \h </w:instrText>
      </w:r>
      <w:r>
        <w:rPr>
          <w:sz w:val="24"/>
          <w:szCs w:val="22"/>
        </w:rPr>
        <w:fldChar w:fldCharType="separate"/>
      </w:r>
      <w:r>
        <w:rPr>
          <w:sz w:val="24"/>
          <w:szCs w:val="22"/>
        </w:rPr>
        <w:t>34</w:t>
      </w:r>
      <w:r>
        <w:rPr>
          <w:sz w:val="24"/>
          <w:szCs w:val="22"/>
        </w:rPr>
        <w:fldChar w:fldCharType="end"/>
      </w:r>
      <w:r>
        <w:rPr>
          <w:rFonts w:hint="eastAsia" w:ascii="仿宋_GB2312" w:hAnsi="仿宋_GB2312" w:eastAsia="仿宋_GB2312" w:cs="仿宋_GB2312"/>
          <w:bCs/>
          <w:sz w:val="24"/>
          <w:szCs w:val="40"/>
        </w:rPr>
        <w:fldChar w:fldCharType="end"/>
      </w:r>
    </w:p>
    <w:p w14:paraId="66C44C94">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_Toc6441 </w:instrText>
      </w:r>
      <w:r>
        <w:rPr>
          <w:rFonts w:hint="eastAsia" w:ascii="仿宋_GB2312" w:hAnsi="仿宋_GB2312" w:eastAsia="仿宋_GB2312" w:cs="仿宋_GB2312"/>
          <w:bCs/>
          <w:sz w:val="32"/>
          <w:szCs w:val="40"/>
        </w:rPr>
        <w:fldChar w:fldCharType="separate"/>
      </w:r>
      <w:r>
        <w:rPr>
          <w:rFonts w:hint="eastAsia" w:ascii="黑体" w:hAnsi="黑体" w:eastAsia="黑体" w:cs="黑体"/>
          <w:sz w:val="32"/>
          <w:szCs w:val="48"/>
        </w:rPr>
        <w:t>7</w:t>
      </w:r>
      <w:r>
        <w:rPr>
          <w:rFonts w:hint="default" w:ascii="仿宋_GB2312" w:hAnsi="仿宋_GB2312" w:eastAsia="仿宋_GB2312" w:cs="仿宋_GB2312"/>
          <w:sz w:val="32"/>
          <w:szCs w:val="48"/>
        </w:rPr>
        <w:t xml:space="preserve">. </w:t>
      </w:r>
      <w:r>
        <w:rPr>
          <w:rFonts w:hint="eastAsia" w:ascii="仿宋_GB2312" w:hAnsi="仿宋_GB2312" w:eastAsia="仿宋_GB2312" w:cs="仿宋_GB2312"/>
          <w:sz w:val="32"/>
          <w:szCs w:val="48"/>
        </w:rPr>
        <w:t>技术规范</w:t>
      </w:r>
      <w:r>
        <w:rPr>
          <w:sz w:val="32"/>
          <w:szCs w:val="22"/>
        </w:rPr>
        <w:tab/>
      </w:r>
      <w:r>
        <w:rPr>
          <w:sz w:val="32"/>
          <w:szCs w:val="22"/>
        </w:rPr>
        <w:fldChar w:fldCharType="begin"/>
      </w:r>
      <w:r>
        <w:rPr>
          <w:sz w:val="32"/>
          <w:szCs w:val="22"/>
        </w:rPr>
        <w:instrText xml:space="preserve"> PAGEREF _Toc6441 \h </w:instrText>
      </w:r>
      <w:r>
        <w:rPr>
          <w:sz w:val="32"/>
          <w:szCs w:val="22"/>
        </w:rPr>
        <w:fldChar w:fldCharType="separate"/>
      </w:r>
      <w:r>
        <w:rPr>
          <w:sz w:val="32"/>
          <w:szCs w:val="22"/>
        </w:rPr>
        <w:t>37</w:t>
      </w:r>
      <w:r>
        <w:rPr>
          <w:sz w:val="32"/>
          <w:szCs w:val="22"/>
        </w:rPr>
        <w:fldChar w:fldCharType="end"/>
      </w:r>
      <w:r>
        <w:rPr>
          <w:rFonts w:hint="eastAsia" w:ascii="仿宋_GB2312" w:hAnsi="仿宋_GB2312" w:eastAsia="仿宋_GB2312" w:cs="仿宋_GB2312"/>
          <w:bCs/>
          <w:sz w:val="32"/>
          <w:szCs w:val="40"/>
        </w:rPr>
        <w:fldChar w:fldCharType="end"/>
      </w:r>
    </w:p>
    <w:p w14:paraId="0AFE8901">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_Toc11428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7.1. </w:t>
      </w:r>
      <w:r>
        <w:rPr>
          <w:rFonts w:hint="eastAsia" w:ascii="仿宋_GB2312" w:hAnsi="仿宋_GB2312" w:eastAsia="仿宋_GB2312" w:cs="仿宋_GB2312"/>
          <w:sz w:val="24"/>
          <w:szCs w:val="44"/>
        </w:rPr>
        <w:t>机器人制作规范</w:t>
      </w:r>
      <w:r>
        <w:rPr>
          <w:sz w:val="24"/>
          <w:szCs w:val="22"/>
        </w:rPr>
        <w:tab/>
      </w:r>
      <w:r>
        <w:rPr>
          <w:sz w:val="24"/>
          <w:szCs w:val="22"/>
        </w:rPr>
        <w:fldChar w:fldCharType="begin"/>
      </w:r>
      <w:r>
        <w:rPr>
          <w:sz w:val="24"/>
          <w:szCs w:val="22"/>
        </w:rPr>
        <w:instrText xml:space="preserve"> PAGEREF _Toc11428 \h </w:instrText>
      </w:r>
      <w:r>
        <w:rPr>
          <w:sz w:val="24"/>
          <w:szCs w:val="22"/>
        </w:rPr>
        <w:fldChar w:fldCharType="separate"/>
      </w:r>
      <w:r>
        <w:rPr>
          <w:sz w:val="24"/>
          <w:szCs w:val="22"/>
        </w:rPr>
        <w:t>37</w:t>
      </w:r>
      <w:r>
        <w:rPr>
          <w:sz w:val="24"/>
          <w:szCs w:val="22"/>
        </w:rPr>
        <w:fldChar w:fldCharType="end"/>
      </w:r>
      <w:r>
        <w:rPr>
          <w:rFonts w:hint="eastAsia" w:ascii="仿宋_GB2312" w:hAnsi="仿宋_GB2312" w:eastAsia="仿宋_GB2312" w:cs="仿宋_GB2312"/>
          <w:bCs/>
          <w:sz w:val="24"/>
          <w:szCs w:val="40"/>
        </w:rPr>
        <w:fldChar w:fldCharType="end"/>
      </w:r>
    </w:p>
    <w:p w14:paraId="33159D8C">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_Toc15735 </w:instrText>
      </w:r>
      <w:r>
        <w:rPr>
          <w:rFonts w:hint="eastAsia" w:ascii="仿宋_GB2312" w:hAnsi="仿宋_GB2312" w:eastAsia="仿宋_GB2312" w:cs="仿宋_GB2312"/>
          <w:bCs/>
          <w:sz w:val="24"/>
          <w:szCs w:val="40"/>
        </w:rPr>
        <w:fldChar w:fldCharType="separate"/>
      </w:r>
      <w:r>
        <w:rPr>
          <w:rFonts w:hint="eastAsia" w:ascii="仿宋_GB2312" w:hAnsi="仿宋_GB2312" w:eastAsia="仿宋_GB2312" w:cs="仿宋_GB2312"/>
          <w:sz w:val="24"/>
          <w:szCs w:val="44"/>
          <w:lang w:val="en-US" w:eastAsia="zh-CN"/>
        </w:rPr>
        <w:t>7.2.</w:t>
      </w:r>
      <w:r>
        <w:rPr>
          <w:rFonts w:hint="eastAsia" w:ascii="仿宋_GB2312" w:hAnsi="仿宋_GB2312" w:eastAsia="仿宋_GB2312" w:cs="仿宋_GB2312"/>
          <w:sz w:val="24"/>
          <w:szCs w:val="44"/>
        </w:rPr>
        <w:t>战队标记物制作规范</w:t>
      </w:r>
      <w:r>
        <w:rPr>
          <w:sz w:val="24"/>
          <w:szCs w:val="22"/>
        </w:rPr>
        <w:tab/>
      </w:r>
      <w:r>
        <w:rPr>
          <w:sz w:val="24"/>
          <w:szCs w:val="22"/>
        </w:rPr>
        <w:fldChar w:fldCharType="begin"/>
      </w:r>
      <w:r>
        <w:rPr>
          <w:sz w:val="24"/>
          <w:szCs w:val="22"/>
        </w:rPr>
        <w:instrText xml:space="preserve"> PAGEREF _Toc15735 \h </w:instrText>
      </w:r>
      <w:r>
        <w:rPr>
          <w:sz w:val="24"/>
          <w:szCs w:val="22"/>
        </w:rPr>
        <w:fldChar w:fldCharType="separate"/>
      </w:r>
      <w:r>
        <w:rPr>
          <w:sz w:val="24"/>
          <w:szCs w:val="22"/>
        </w:rPr>
        <w:t>41</w:t>
      </w:r>
      <w:r>
        <w:rPr>
          <w:sz w:val="24"/>
          <w:szCs w:val="22"/>
        </w:rPr>
        <w:fldChar w:fldCharType="end"/>
      </w:r>
      <w:r>
        <w:rPr>
          <w:rFonts w:hint="eastAsia" w:ascii="仿宋_GB2312" w:hAnsi="仿宋_GB2312" w:eastAsia="仿宋_GB2312" w:cs="仿宋_GB2312"/>
          <w:bCs/>
          <w:sz w:val="24"/>
          <w:szCs w:val="40"/>
        </w:rPr>
        <w:fldChar w:fldCharType="end"/>
      </w:r>
    </w:p>
    <w:p w14:paraId="41E14A5C">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_Toc24674 </w:instrText>
      </w:r>
      <w:r>
        <w:rPr>
          <w:rFonts w:hint="eastAsia" w:ascii="仿宋_GB2312" w:hAnsi="仿宋_GB2312" w:eastAsia="仿宋_GB2312" w:cs="仿宋_GB2312"/>
          <w:bCs/>
          <w:sz w:val="32"/>
          <w:szCs w:val="40"/>
        </w:rPr>
        <w:fldChar w:fldCharType="separate"/>
      </w:r>
      <w:r>
        <w:rPr>
          <w:rFonts w:hint="eastAsia" w:ascii="黑体" w:hAnsi="黑体" w:eastAsia="黑体" w:cs="黑体"/>
          <w:sz w:val="32"/>
          <w:szCs w:val="48"/>
        </w:rPr>
        <w:t>8</w:t>
      </w:r>
      <w:r>
        <w:rPr>
          <w:rFonts w:hint="default" w:ascii="仿宋_GB2312" w:hAnsi="仿宋_GB2312" w:eastAsia="仿宋_GB2312" w:cs="仿宋_GB2312"/>
          <w:sz w:val="32"/>
          <w:szCs w:val="48"/>
        </w:rPr>
        <w:t xml:space="preserve">. </w:t>
      </w:r>
      <w:r>
        <w:rPr>
          <w:rFonts w:hint="eastAsia" w:ascii="仿宋_GB2312" w:hAnsi="仿宋_GB2312" w:eastAsia="仿宋_GB2312" w:cs="仿宋_GB2312"/>
          <w:sz w:val="32"/>
          <w:szCs w:val="48"/>
        </w:rPr>
        <w:t>比赛规则</w:t>
      </w:r>
      <w:r>
        <w:rPr>
          <w:sz w:val="32"/>
          <w:szCs w:val="22"/>
        </w:rPr>
        <w:tab/>
      </w:r>
      <w:r>
        <w:rPr>
          <w:sz w:val="32"/>
          <w:szCs w:val="22"/>
        </w:rPr>
        <w:fldChar w:fldCharType="begin"/>
      </w:r>
      <w:r>
        <w:rPr>
          <w:sz w:val="32"/>
          <w:szCs w:val="22"/>
        </w:rPr>
        <w:instrText xml:space="preserve"> PAGEREF _Toc24674 \h </w:instrText>
      </w:r>
      <w:r>
        <w:rPr>
          <w:sz w:val="32"/>
          <w:szCs w:val="22"/>
        </w:rPr>
        <w:fldChar w:fldCharType="separate"/>
      </w:r>
      <w:r>
        <w:rPr>
          <w:sz w:val="32"/>
          <w:szCs w:val="22"/>
        </w:rPr>
        <w:t>42</w:t>
      </w:r>
      <w:r>
        <w:rPr>
          <w:sz w:val="32"/>
          <w:szCs w:val="22"/>
        </w:rPr>
        <w:fldChar w:fldCharType="end"/>
      </w:r>
      <w:r>
        <w:rPr>
          <w:rFonts w:hint="eastAsia" w:ascii="仿宋_GB2312" w:hAnsi="仿宋_GB2312" w:eastAsia="仿宋_GB2312" w:cs="仿宋_GB2312"/>
          <w:bCs/>
          <w:sz w:val="32"/>
          <w:szCs w:val="40"/>
        </w:rPr>
        <w:fldChar w:fldCharType="end"/>
      </w:r>
    </w:p>
    <w:p w14:paraId="4695392E">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_Toc4582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8.1. </w:t>
      </w:r>
      <w:r>
        <w:rPr>
          <w:rFonts w:hint="eastAsia" w:ascii="仿宋_GB2312" w:hAnsi="仿宋_GB2312" w:eastAsia="仿宋_GB2312" w:cs="仿宋_GB2312"/>
          <w:sz w:val="24"/>
          <w:szCs w:val="44"/>
        </w:rPr>
        <w:t>违规处罚说明</w:t>
      </w:r>
      <w:r>
        <w:rPr>
          <w:sz w:val="24"/>
          <w:szCs w:val="22"/>
        </w:rPr>
        <w:tab/>
      </w:r>
      <w:r>
        <w:rPr>
          <w:sz w:val="24"/>
          <w:szCs w:val="22"/>
        </w:rPr>
        <w:fldChar w:fldCharType="begin"/>
      </w:r>
      <w:r>
        <w:rPr>
          <w:sz w:val="24"/>
          <w:szCs w:val="22"/>
        </w:rPr>
        <w:instrText xml:space="preserve"> PAGEREF _Toc4582 \h </w:instrText>
      </w:r>
      <w:r>
        <w:rPr>
          <w:sz w:val="24"/>
          <w:szCs w:val="22"/>
        </w:rPr>
        <w:fldChar w:fldCharType="separate"/>
      </w:r>
      <w:r>
        <w:rPr>
          <w:sz w:val="24"/>
          <w:szCs w:val="22"/>
        </w:rPr>
        <w:t>42</w:t>
      </w:r>
      <w:r>
        <w:rPr>
          <w:sz w:val="24"/>
          <w:szCs w:val="22"/>
        </w:rPr>
        <w:fldChar w:fldCharType="end"/>
      </w:r>
      <w:r>
        <w:rPr>
          <w:rFonts w:hint="eastAsia" w:ascii="仿宋_GB2312" w:hAnsi="仿宋_GB2312" w:eastAsia="仿宋_GB2312" w:cs="仿宋_GB2312"/>
          <w:bCs/>
          <w:sz w:val="24"/>
          <w:szCs w:val="40"/>
        </w:rPr>
        <w:fldChar w:fldCharType="end"/>
      </w:r>
    </w:p>
    <w:p w14:paraId="4C7EA415">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_Toc7999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8.2. </w:t>
      </w:r>
      <w:r>
        <w:rPr>
          <w:rFonts w:hint="eastAsia" w:ascii="仿宋_GB2312" w:hAnsi="仿宋_GB2312" w:eastAsia="仿宋_GB2312" w:cs="仿宋_GB2312"/>
          <w:sz w:val="24"/>
          <w:szCs w:val="44"/>
        </w:rPr>
        <w:t>安全规则</w:t>
      </w:r>
      <w:r>
        <w:rPr>
          <w:sz w:val="24"/>
          <w:szCs w:val="22"/>
        </w:rPr>
        <w:tab/>
      </w:r>
      <w:r>
        <w:rPr>
          <w:sz w:val="24"/>
          <w:szCs w:val="22"/>
        </w:rPr>
        <w:fldChar w:fldCharType="begin"/>
      </w:r>
      <w:r>
        <w:rPr>
          <w:sz w:val="24"/>
          <w:szCs w:val="22"/>
        </w:rPr>
        <w:instrText xml:space="preserve"> PAGEREF _Toc7999 \h </w:instrText>
      </w:r>
      <w:r>
        <w:rPr>
          <w:sz w:val="24"/>
          <w:szCs w:val="22"/>
        </w:rPr>
        <w:fldChar w:fldCharType="separate"/>
      </w:r>
      <w:r>
        <w:rPr>
          <w:sz w:val="24"/>
          <w:szCs w:val="22"/>
        </w:rPr>
        <w:t>43</w:t>
      </w:r>
      <w:r>
        <w:rPr>
          <w:sz w:val="24"/>
          <w:szCs w:val="22"/>
        </w:rPr>
        <w:fldChar w:fldCharType="end"/>
      </w:r>
      <w:r>
        <w:rPr>
          <w:rFonts w:hint="eastAsia" w:ascii="仿宋_GB2312" w:hAnsi="仿宋_GB2312" w:eastAsia="仿宋_GB2312" w:cs="仿宋_GB2312"/>
          <w:bCs/>
          <w:sz w:val="24"/>
          <w:szCs w:val="40"/>
        </w:rPr>
        <w:fldChar w:fldCharType="end"/>
      </w:r>
    </w:p>
    <w:p w14:paraId="21646384">
      <w:pPr>
        <w:pStyle w:val="18"/>
        <w:tabs>
          <w:tab w:val="right" w:leader="dot" w:pos="9072"/>
          <w:tab w:val="clear" w:pos="880"/>
          <w:tab w:val="clear" w:pos="8296"/>
        </w:tabs>
        <w:rPr>
          <w:sz w:val="24"/>
          <w:szCs w:val="22"/>
        </w:rPr>
      </w:pPr>
      <w:r>
        <w:rPr>
          <w:rFonts w:hint="eastAsia" w:ascii="仿宋_GB2312" w:hAnsi="仿宋_GB2312" w:eastAsia="仿宋_GB2312" w:cs="仿宋_GB2312"/>
          <w:bCs/>
          <w:sz w:val="24"/>
          <w:szCs w:val="40"/>
        </w:rPr>
        <w:fldChar w:fldCharType="begin"/>
      </w:r>
      <w:r>
        <w:rPr>
          <w:rFonts w:hint="eastAsia" w:ascii="仿宋_GB2312" w:hAnsi="仿宋_GB2312" w:eastAsia="仿宋_GB2312" w:cs="仿宋_GB2312"/>
          <w:bCs/>
          <w:sz w:val="24"/>
          <w:szCs w:val="40"/>
        </w:rPr>
        <w:instrText xml:space="preserve"> HYPERLINK \l _Toc32636 </w:instrText>
      </w:r>
      <w:r>
        <w:rPr>
          <w:rFonts w:hint="eastAsia" w:ascii="仿宋_GB2312" w:hAnsi="仿宋_GB2312" w:eastAsia="仿宋_GB2312" w:cs="仿宋_GB2312"/>
          <w:bCs/>
          <w:sz w:val="24"/>
          <w:szCs w:val="40"/>
        </w:rPr>
        <w:fldChar w:fldCharType="separate"/>
      </w:r>
      <w:r>
        <w:rPr>
          <w:rFonts w:hint="default" w:ascii="仿宋_GB2312" w:hAnsi="仿宋_GB2312" w:eastAsia="仿宋_GB2312" w:cs="仿宋_GB2312"/>
          <w:sz w:val="24"/>
          <w:szCs w:val="44"/>
        </w:rPr>
        <w:t xml:space="preserve">8.3. </w:t>
      </w:r>
      <w:r>
        <w:rPr>
          <w:rFonts w:hint="eastAsia" w:ascii="仿宋_GB2312" w:hAnsi="仿宋_GB2312" w:eastAsia="仿宋_GB2312" w:cs="仿宋_GB2312"/>
          <w:sz w:val="24"/>
          <w:szCs w:val="44"/>
        </w:rPr>
        <w:t>操作规则</w:t>
      </w:r>
      <w:r>
        <w:rPr>
          <w:sz w:val="24"/>
          <w:szCs w:val="22"/>
        </w:rPr>
        <w:tab/>
      </w:r>
      <w:r>
        <w:rPr>
          <w:sz w:val="24"/>
          <w:szCs w:val="22"/>
        </w:rPr>
        <w:fldChar w:fldCharType="begin"/>
      </w:r>
      <w:r>
        <w:rPr>
          <w:sz w:val="24"/>
          <w:szCs w:val="22"/>
        </w:rPr>
        <w:instrText xml:space="preserve"> PAGEREF _Toc32636 \h </w:instrText>
      </w:r>
      <w:r>
        <w:rPr>
          <w:sz w:val="24"/>
          <w:szCs w:val="22"/>
        </w:rPr>
        <w:fldChar w:fldCharType="separate"/>
      </w:r>
      <w:r>
        <w:rPr>
          <w:sz w:val="24"/>
          <w:szCs w:val="22"/>
        </w:rPr>
        <w:t>44</w:t>
      </w:r>
      <w:r>
        <w:rPr>
          <w:sz w:val="24"/>
          <w:szCs w:val="22"/>
        </w:rPr>
        <w:fldChar w:fldCharType="end"/>
      </w:r>
      <w:r>
        <w:rPr>
          <w:rFonts w:hint="eastAsia" w:ascii="仿宋_GB2312" w:hAnsi="仿宋_GB2312" w:eastAsia="仿宋_GB2312" w:cs="仿宋_GB2312"/>
          <w:bCs/>
          <w:sz w:val="24"/>
          <w:szCs w:val="40"/>
        </w:rPr>
        <w:fldChar w:fldCharType="end"/>
      </w:r>
    </w:p>
    <w:p w14:paraId="0BFFAB5A">
      <w:pPr>
        <w:pStyle w:val="16"/>
        <w:tabs>
          <w:tab w:val="right" w:leader="dot" w:pos="9072"/>
          <w:tab w:val="clear" w:pos="420"/>
          <w:tab w:val="clear" w:pos="8296"/>
        </w:tabs>
        <w:rPr>
          <w:sz w:val="32"/>
          <w:szCs w:val="22"/>
        </w:rPr>
      </w:pPr>
      <w:r>
        <w:rPr>
          <w:rFonts w:hint="eastAsia" w:ascii="仿宋_GB2312" w:hAnsi="仿宋_GB2312" w:eastAsia="仿宋_GB2312" w:cs="仿宋_GB2312"/>
          <w:bCs/>
          <w:sz w:val="32"/>
          <w:szCs w:val="40"/>
        </w:rPr>
        <w:fldChar w:fldCharType="begin"/>
      </w:r>
      <w:r>
        <w:rPr>
          <w:rFonts w:hint="eastAsia" w:ascii="仿宋_GB2312" w:hAnsi="仿宋_GB2312" w:eastAsia="仿宋_GB2312" w:cs="仿宋_GB2312"/>
          <w:bCs/>
          <w:sz w:val="32"/>
          <w:szCs w:val="40"/>
        </w:rPr>
        <w:instrText xml:space="preserve"> HYPERLINK \l _Toc15390 </w:instrText>
      </w:r>
      <w:r>
        <w:rPr>
          <w:rFonts w:hint="eastAsia" w:ascii="仿宋_GB2312" w:hAnsi="仿宋_GB2312" w:eastAsia="仿宋_GB2312" w:cs="仿宋_GB2312"/>
          <w:bCs/>
          <w:sz w:val="32"/>
          <w:szCs w:val="40"/>
        </w:rPr>
        <w:fldChar w:fldCharType="separate"/>
      </w:r>
      <w:r>
        <w:rPr>
          <w:rFonts w:hint="eastAsia" w:ascii="黑体" w:hAnsi="黑体" w:eastAsia="黑体" w:cs="黑体"/>
          <w:sz w:val="32"/>
          <w:szCs w:val="48"/>
        </w:rPr>
        <w:t>9</w:t>
      </w:r>
      <w:r>
        <w:rPr>
          <w:rFonts w:hint="default" w:ascii="仿宋_GB2312" w:hAnsi="仿宋_GB2312" w:eastAsia="仿宋_GB2312" w:cs="仿宋_GB2312"/>
          <w:sz w:val="32"/>
          <w:szCs w:val="48"/>
        </w:rPr>
        <w:t xml:space="preserve">. </w:t>
      </w:r>
      <w:r>
        <w:rPr>
          <w:rFonts w:hint="eastAsia" w:ascii="仿宋_GB2312" w:hAnsi="仿宋_GB2312" w:eastAsia="仿宋_GB2312" w:cs="仿宋_GB2312"/>
          <w:sz w:val="32"/>
          <w:szCs w:val="48"/>
          <w:lang w:eastAsia="zh-CN"/>
        </w:rPr>
        <w:t>省赛特别说明</w:t>
      </w:r>
      <w:r>
        <w:rPr>
          <w:sz w:val="32"/>
          <w:szCs w:val="22"/>
        </w:rPr>
        <w:tab/>
      </w:r>
      <w:r>
        <w:rPr>
          <w:sz w:val="32"/>
          <w:szCs w:val="22"/>
        </w:rPr>
        <w:fldChar w:fldCharType="begin"/>
      </w:r>
      <w:r>
        <w:rPr>
          <w:sz w:val="32"/>
          <w:szCs w:val="22"/>
        </w:rPr>
        <w:instrText xml:space="preserve"> PAGEREF _Toc15390 \h </w:instrText>
      </w:r>
      <w:r>
        <w:rPr>
          <w:sz w:val="32"/>
          <w:szCs w:val="22"/>
        </w:rPr>
        <w:fldChar w:fldCharType="separate"/>
      </w:r>
      <w:r>
        <w:rPr>
          <w:sz w:val="32"/>
          <w:szCs w:val="22"/>
        </w:rPr>
        <w:t>50</w:t>
      </w:r>
      <w:r>
        <w:rPr>
          <w:sz w:val="32"/>
          <w:szCs w:val="22"/>
        </w:rPr>
        <w:fldChar w:fldCharType="end"/>
      </w:r>
      <w:r>
        <w:rPr>
          <w:rFonts w:hint="eastAsia" w:ascii="仿宋_GB2312" w:hAnsi="仿宋_GB2312" w:eastAsia="仿宋_GB2312" w:cs="仿宋_GB2312"/>
          <w:bCs/>
          <w:sz w:val="32"/>
          <w:szCs w:val="40"/>
        </w:rPr>
        <w:fldChar w:fldCharType="end"/>
      </w:r>
    </w:p>
    <w:p w14:paraId="1D361ABE">
      <w:pPr>
        <w:keepNext w:val="0"/>
        <w:keepLines w:val="0"/>
        <w:pageBreakBefore w:val="0"/>
        <w:widowControl w:val="0"/>
        <w:kinsoku/>
        <w:wordWrap/>
        <w:overflowPunct/>
        <w:topLinePunct w:val="0"/>
        <w:autoSpaceDE/>
        <w:autoSpaceDN/>
        <w:bidi w:val="0"/>
        <w:adjustRightInd w:val="0"/>
        <w:snapToGrid w:val="0"/>
        <w:spacing w:line="240" w:lineRule="auto"/>
        <w:jc w:val="left"/>
        <w:textAlignment w:val="auto"/>
        <w:rPr>
          <w:rFonts w:hint="eastAsia" w:ascii="仿宋_GB2312" w:hAnsi="仿宋_GB2312" w:eastAsia="仿宋_GB2312" w:cs="仿宋_GB2312"/>
          <w:sz w:val="28"/>
          <w:szCs w:val="28"/>
        </w:rPr>
        <w:sectPr>
          <w:headerReference r:id="rId7" w:type="first"/>
          <w:footerReference r:id="rId10" w:type="first"/>
          <w:headerReference r:id="rId5" w:type="default"/>
          <w:footerReference r:id="rId8" w:type="default"/>
          <w:headerReference r:id="rId6" w:type="even"/>
          <w:footerReference r:id="rId9" w:type="even"/>
          <w:pgSz w:w="11906" w:h="16838"/>
          <w:pgMar w:top="1440" w:right="1417" w:bottom="1440" w:left="1417" w:header="851" w:footer="992" w:gutter="0"/>
          <w:pgNumType w:fmt="decimal" w:start="1"/>
          <w:cols w:space="425" w:num="1"/>
          <w:titlePg/>
          <w:docGrid w:type="lines" w:linePitch="312" w:charSpace="0"/>
        </w:sectPr>
      </w:pPr>
      <w:r>
        <w:rPr>
          <w:rFonts w:hint="eastAsia" w:ascii="仿宋_GB2312" w:hAnsi="仿宋_GB2312" w:eastAsia="仿宋_GB2312" w:cs="仿宋_GB2312"/>
          <w:bCs/>
          <w:sz w:val="22"/>
          <w:szCs w:val="40"/>
        </w:rPr>
        <w:fldChar w:fldCharType="end"/>
      </w:r>
    </w:p>
    <w:p w14:paraId="76EC85FC">
      <w:pPr>
        <w:keepNext w:val="0"/>
        <w:keepLines w:val="0"/>
        <w:pageBreakBefore w:val="0"/>
        <w:widowControl w:val="0"/>
        <w:numPr>
          <w:ilvl w:val="0"/>
          <w:numId w:val="11"/>
        </w:numPr>
        <w:kinsoku/>
        <w:wordWrap/>
        <w:overflowPunct/>
        <w:topLinePunct w:val="0"/>
        <w:autoSpaceDE/>
        <w:autoSpaceDN/>
        <w:bidi w:val="0"/>
        <w:adjustRightInd w:val="0"/>
        <w:snapToGrid w:val="0"/>
        <w:spacing w:before="260" w:after="260" w:line="360" w:lineRule="auto"/>
        <w:jc w:val="left"/>
        <w:textAlignment w:val="auto"/>
        <w:outlineLvl w:val="0"/>
        <w:rPr>
          <w:rFonts w:hint="eastAsia" w:ascii="仿宋_GB2312" w:hAnsi="仿宋_GB2312" w:eastAsia="仿宋_GB2312" w:cs="仿宋_GB2312"/>
          <w:b/>
          <w:color w:val="D83931"/>
          <w:sz w:val="40"/>
          <w:szCs w:val="40"/>
        </w:rPr>
      </w:pPr>
      <w:bookmarkStart w:id="1" w:name="_Toc5498"/>
      <w:r>
        <w:rPr>
          <w:rFonts w:hint="eastAsia" w:ascii="仿宋_GB2312" w:hAnsi="仿宋_GB2312" w:eastAsia="仿宋_GB2312" w:cs="仿宋_GB2312"/>
          <w:b/>
          <w:color w:val="D83931"/>
          <w:sz w:val="40"/>
          <w:szCs w:val="40"/>
        </w:rPr>
        <w:t>赛项基本信息</w:t>
      </w:r>
      <w:bookmarkEnd w:id="1"/>
    </w:p>
    <w:p w14:paraId="71F1A517">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项目名称</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全芯征途低年级组</w:t>
      </w:r>
      <w:r>
        <w:rPr>
          <w:rFonts w:hint="eastAsia" w:ascii="仿宋_GB2312" w:hAnsi="仿宋_GB2312" w:eastAsia="仿宋_GB2312" w:cs="仿宋_GB2312"/>
          <w:sz w:val="32"/>
          <w:szCs w:val="32"/>
        </w:rPr>
        <w:t>；</w:t>
      </w:r>
    </w:p>
    <w:p w14:paraId="5E5767D4">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赛项类型：</w:t>
      </w:r>
      <w:r>
        <w:rPr>
          <w:rFonts w:hint="eastAsia" w:ascii="仿宋_GB2312" w:hAnsi="仿宋_GB2312" w:eastAsia="仿宋_GB2312" w:cs="仿宋_GB2312"/>
          <w:sz w:val="32"/>
          <w:szCs w:val="32"/>
        </w:rPr>
        <w:t>任务赛；</w:t>
      </w:r>
    </w:p>
    <w:p w14:paraId="5A370F40">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组别：</w:t>
      </w:r>
      <w:r>
        <w:rPr>
          <w:rFonts w:hint="eastAsia" w:ascii="仿宋_GB2312" w:hAnsi="仿宋_GB2312" w:eastAsia="仿宋_GB2312" w:cs="仿宋_GB2312"/>
          <w:sz w:val="32"/>
          <w:szCs w:val="32"/>
          <w:lang w:val="en-US" w:eastAsia="zh-CN"/>
        </w:rPr>
        <w:t>小学3-4年级</w:t>
      </w:r>
      <w:r>
        <w:rPr>
          <w:rFonts w:hint="eastAsia" w:ascii="仿宋_GB2312" w:hAnsi="仿宋_GB2312" w:eastAsia="仿宋_GB2312" w:cs="仿宋_GB2312"/>
          <w:sz w:val="32"/>
          <w:szCs w:val="32"/>
        </w:rPr>
        <w:t>；</w:t>
      </w:r>
    </w:p>
    <w:p w14:paraId="0D50DEEC">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参赛人数：</w:t>
      </w:r>
      <w:r>
        <w:rPr>
          <w:rFonts w:hint="eastAsia" w:ascii="仿宋_GB2312" w:hAnsi="仿宋_GB2312" w:eastAsia="仿宋_GB2312" w:cs="仿宋_GB2312"/>
          <w:sz w:val="32"/>
          <w:szCs w:val="32"/>
        </w:rPr>
        <w:t>1人；</w:t>
      </w:r>
    </w:p>
    <w:p w14:paraId="69EB1379">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赛制</w:t>
      </w:r>
      <w:r>
        <w:rPr>
          <w:rFonts w:hint="eastAsia" w:ascii="仿宋_GB2312" w:hAnsi="仿宋_GB2312" w:eastAsia="仿宋_GB2312" w:cs="仿宋_GB2312"/>
          <w:sz w:val="32"/>
          <w:szCs w:val="32"/>
        </w:rPr>
        <w:t>：排位赛，每支队伍进行2场比赛，取最高分进行排名，每场比赛1支队伍；</w:t>
      </w:r>
    </w:p>
    <w:p w14:paraId="73D1F9E6">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场地大小：</w:t>
      </w:r>
      <w:r>
        <w:rPr>
          <w:rFonts w:hint="eastAsia" w:ascii="仿宋_GB2312" w:hAnsi="仿宋_GB2312" w:eastAsia="仿宋_GB2312" w:cs="仿宋_GB2312"/>
          <w:sz w:val="32"/>
          <w:szCs w:val="32"/>
        </w:rPr>
        <w:t>场地边框外尺寸为1200mm*1200mm，边框内尺寸为1170mm*1170mm；</w:t>
      </w:r>
    </w:p>
    <w:p w14:paraId="6AE61127">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机器人尺寸限制：</w:t>
      </w:r>
      <w:r>
        <w:rPr>
          <w:rFonts w:hint="eastAsia" w:ascii="仿宋_GB2312" w:hAnsi="仿宋_GB2312" w:eastAsia="仿宋_GB2312" w:cs="仿宋_GB2312"/>
          <w:sz w:val="32"/>
          <w:szCs w:val="32"/>
        </w:rPr>
        <w:t>携带散件入场，现场进行机器人搭建，机器人最大尺寸要求（长宽高）：250mm*200mm*200mm；最大尺寸指机器人最大伸展尺寸；</w:t>
      </w:r>
    </w:p>
    <w:p w14:paraId="7F16622A">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比赛总时间：</w:t>
      </w:r>
      <w:r>
        <w:rPr>
          <w:rFonts w:hint="eastAsia" w:ascii="仿宋_GB2312" w:hAnsi="仿宋_GB2312" w:eastAsia="仿宋_GB2312" w:cs="仿宋_GB2312"/>
          <w:sz w:val="32"/>
          <w:szCs w:val="32"/>
        </w:rPr>
        <w:t>150s（如提前完成任务，则记录实际用时）</w:t>
      </w:r>
    </w:p>
    <w:p w14:paraId="1F903D95">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547D15B2">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3E48A1E3">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1C8D0157">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148230DC">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558055FC">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64590647">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6B7EE650">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p>
    <w:p w14:paraId="75EE3F79">
      <w:pPr>
        <w:keepNext w:val="0"/>
        <w:keepLines w:val="0"/>
        <w:pageBreakBefore w:val="0"/>
        <w:widowControl w:val="0"/>
        <w:numPr>
          <w:ilvl w:val="0"/>
          <w:numId w:val="11"/>
        </w:numPr>
        <w:kinsoku/>
        <w:wordWrap/>
        <w:overflowPunct/>
        <w:topLinePunct w:val="0"/>
        <w:autoSpaceDE/>
        <w:autoSpaceDN/>
        <w:bidi w:val="0"/>
        <w:adjustRightInd w:val="0"/>
        <w:snapToGrid w:val="0"/>
        <w:spacing w:before="260" w:after="260" w:line="360" w:lineRule="auto"/>
        <w:jc w:val="left"/>
        <w:textAlignment w:val="auto"/>
        <w:outlineLvl w:val="0"/>
        <w:rPr>
          <w:rFonts w:hint="eastAsia" w:ascii="仿宋_GB2312" w:hAnsi="仿宋_GB2312" w:eastAsia="仿宋_GB2312" w:cs="仿宋_GB2312"/>
          <w:b/>
          <w:color w:val="D83931"/>
          <w:sz w:val="40"/>
          <w:szCs w:val="40"/>
        </w:rPr>
      </w:pPr>
      <w:bookmarkStart w:id="2" w:name="_Toc17620"/>
      <w:r>
        <w:rPr>
          <w:rFonts w:hint="eastAsia" w:ascii="仿宋_GB2312" w:hAnsi="仿宋_GB2312" w:eastAsia="仿宋_GB2312" w:cs="仿宋_GB2312"/>
          <w:b/>
          <w:color w:val="D83931"/>
          <w:sz w:val="40"/>
          <w:szCs w:val="40"/>
          <w:lang w:val="en-US" w:eastAsia="zh-CN"/>
        </w:rPr>
        <w:t>机器人制作规范</w:t>
      </w:r>
      <w:bookmarkEnd w:id="2"/>
    </w:p>
    <w:p w14:paraId="6BFCD7D1">
      <w:pPr>
        <w:pStyle w:val="52"/>
        <w:pageBreakBefore w:val="0"/>
        <w:numPr>
          <w:ilvl w:val="0"/>
          <w:numId w:val="0"/>
        </w:numPr>
        <w:kinsoku/>
        <w:overflowPunct/>
        <w:topLinePunct w:val="0"/>
        <w:autoSpaceDE/>
        <w:autoSpaceDN/>
        <w:bidi w:val="0"/>
        <w:adjustRightInd w:val="0"/>
        <w:snapToGrid w:val="0"/>
        <w:spacing w:after="156" w:afterLines="50"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为确保比赛的公平性，防止战队使用部分高性能设备破坏比赛公平性，战队使用的器材性能不得超过以下指标：</w:t>
      </w:r>
    </w:p>
    <w:tbl>
      <w:tblPr>
        <w:tblStyle w:val="21"/>
        <w:tblW w:w="0" w:type="auto"/>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431"/>
        <w:gridCol w:w="1767"/>
        <w:gridCol w:w="3184"/>
        <w:gridCol w:w="2710"/>
      </w:tblGrid>
      <w:tr w14:paraId="761C86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Align w:val="center"/>
          </w:tcPr>
          <w:p w14:paraId="4E615A4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设备类型</w:t>
            </w:r>
          </w:p>
        </w:tc>
        <w:tc>
          <w:tcPr>
            <w:tcW w:w="1772" w:type="dxa"/>
            <w:vAlign w:val="center"/>
          </w:tcPr>
          <w:p w14:paraId="58538F6D">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部件名称</w:t>
            </w:r>
          </w:p>
        </w:tc>
        <w:tc>
          <w:tcPr>
            <w:tcW w:w="3233" w:type="dxa"/>
            <w:vAlign w:val="center"/>
          </w:tcPr>
          <w:p w14:paraId="24CEABED">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规格</w:t>
            </w:r>
          </w:p>
        </w:tc>
        <w:tc>
          <w:tcPr>
            <w:tcW w:w="2769" w:type="dxa"/>
            <w:vAlign w:val="center"/>
          </w:tcPr>
          <w:p w14:paraId="3FCB42CA">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备注</w:t>
            </w:r>
          </w:p>
        </w:tc>
      </w:tr>
      <w:tr w14:paraId="07548A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Align w:val="center"/>
          </w:tcPr>
          <w:p w14:paraId="354D1FD0">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主控&amp;扩展板</w:t>
            </w:r>
          </w:p>
        </w:tc>
        <w:tc>
          <w:tcPr>
            <w:tcW w:w="1772" w:type="dxa"/>
            <w:vAlign w:val="center"/>
          </w:tcPr>
          <w:p w14:paraId="5AC2CD6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ESP32-WROVER-B</w:t>
            </w:r>
          </w:p>
        </w:tc>
        <w:tc>
          <w:tcPr>
            <w:tcW w:w="3233" w:type="dxa"/>
            <w:vAlign w:val="center"/>
          </w:tcPr>
          <w:p w14:paraId="700DA404">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处理器：Xtensa® 32-bit LX6 双核处理器</w:t>
            </w:r>
          </w:p>
          <w:p w14:paraId="1C54BBA8">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通讯模式：</w:t>
            </w:r>
          </w:p>
          <w:p w14:paraId="5DFA3AC3">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串口通信：主控板对扩展板</w:t>
            </w:r>
          </w:p>
          <w:p w14:paraId="18E0D232">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数字信号：数字舵机接口</w:t>
            </w:r>
          </w:p>
          <w:p w14:paraId="362B8407">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PWM：直流电机接口</w:t>
            </w:r>
          </w:p>
        </w:tc>
        <w:tc>
          <w:tcPr>
            <w:tcW w:w="2769" w:type="dxa"/>
            <w:vAlign w:val="center"/>
          </w:tcPr>
          <w:p w14:paraId="06B3DA97">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p>
        </w:tc>
      </w:tr>
      <w:tr w14:paraId="02B2C5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restart"/>
            <w:vAlign w:val="center"/>
          </w:tcPr>
          <w:p w14:paraId="72B7A520">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传感器</w:t>
            </w:r>
          </w:p>
        </w:tc>
        <w:tc>
          <w:tcPr>
            <w:tcW w:w="1772" w:type="dxa"/>
            <w:vAlign w:val="center"/>
          </w:tcPr>
          <w:p w14:paraId="6372C28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视觉传感器</w:t>
            </w:r>
          </w:p>
        </w:tc>
        <w:tc>
          <w:tcPr>
            <w:tcW w:w="3233" w:type="dxa"/>
            <w:vAlign w:val="center"/>
          </w:tcPr>
          <w:p w14:paraId="54905446">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视场角：65.0度</w:t>
            </w:r>
          </w:p>
          <w:p w14:paraId="678AE2DE">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有效焦距：4.65±5% mm</w:t>
            </w:r>
          </w:p>
          <w:p w14:paraId="06632461">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识别速度：60帧/s</w:t>
            </w:r>
          </w:p>
          <w:p w14:paraId="7335F3D8">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识别距离：0.25-1.2m范围最佳</w:t>
            </w:r>
          </w:p>
          <w:p w14:paraId="3D0C6659">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供电方式：3.7V锂电池或5V mBuild电源模块</w:t>
            </w:r>
          </w:p>
          <w:p w14:paraId="024E8284">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功耗范围：0.9-1.3W</w:t>
            </w:r>
          </w:p>
        </w:tc>
        <w:tc>
          <w:tcPr>
            <w:tcW w:w="2769" w:type="dxa"/>
            <w:vMerge w:val="restart"/>
            <w:vAlign w:val="center"/>
          </w:tcPr>
          <w:p w14:paraId="37941FE4">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类型和数量不限；</w:t>
            </w:r>
          </w:p>
          <w:p w14:paraId="332F940F">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机器人禁止使用任何可干扰到其它机器人感知能力的传感器</w:t>
            </w:r>
          </w:p>
        </w:tc>
      </w:tr>
      <w:tr w14:paraId="0AC778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continue"/>
            <w:vAlign w:val="center"/>
          </w:tcPr>
          <w:p w14:paraId="38D28FA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p>
        </w:tc>
        <w:tc>
          <w:tcPr>
            <w:tcW w:w="1772" w:type="dxa"/>
            <w:vAlign w:val="center"/>
          </w:tcPr>
          <w:p w14:paraId="30E8B01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巡线传感器</w:t>
            </w:r>
          </w:p>
        </w:tc>
        <w:tc>
          <w:tcPr>
            <w:tcW w:w="3233" w:type="dxa"/>
            <w:vAlign w:val="center"/>
          </w:tcPr>
          <w:p w14:paraId="365F49D9">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工作电压：DC 5V</w:t>
            </w:r>
          </w:p>
          <w:p w14:paraId="25282081">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检测高度：5-15mm</w:t>
            </w:r>
          </w:p>
        </w:tc>
        <w:tc>
          <w:tcPr>
            <w:tcW w:w="2769" w:type="dxa"/>
            <w:vMerge w:val="continue"/>
            <w:vAlign w:val="center"/>
          </w:tcPr>
          <w:p w14:paraId="4C9FE2BB">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p>
        </w:tc>
      </w:tr>
      <w:tr w14:paraId="55B691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restart"/>
            <w:vAlign w:val="center"/>
          </w:tcPr>
          <w:p w14:paraId="7AF3726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电机&amp;舵机</w:t>
            </w:r>
          </w:p>
        </w:tc>
        <w:tc>
          <w:tcPr>
            <w:tcW w:w="1772" w:type="dxa"/>
            <w:vAlign w:val="center"/>
          </w:tcPr>
          <w:p w14:paraId="303E447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编码电机</w:t>
            </w:r>
          </w:p>
        </w:tc>
        <w:tc>
          <w:tcPr>
            <w:tcW w:w="3233" w:type="dxa"/>
            <w:vAlign w:val="center"/>
          </w:tcPr>
          <w:p w14:paraId="36D7A156">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180光电编码电机</w:t>
            </w:r>
          </w:p>
          <w:p w14:paraId="29FF4979">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额定电压：12V</w:t>
            </w:r>
          </w:p>
          <w:p w14:paraId="61FE482E">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空载转速：350RPM±5%</w:t>
            </w:r>
          </w:p>
          <w:p w14:paraId="225BEFB4">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减速比：39：6</w:t>
            </w:r>
          </w:p>
        </w:tc>
        <w:tc>
          <w:tcPr>
            <w:tcW w:w="2769" w:type="dxa"/>
            <w:vMerge w:val="restart"/>
            <w:vAlign w:val="center"/>
          </w:tcPr>
          <w:p w14:paraId="5ADE8D3D">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禁止更改任何电机或舵机内部的机械结构和电气布局，允许在不改变电机性能的情况下，进行外部焊接。总数量最多</w:t>
            </w:r>
            <w:r>
              <w:rPr>
                <w:rFonts w:hint="eastAsia" w:ascii="仿宋_GB2312" w:hAnsi="仿宋_GB2312" w:eastAsia="仿宋_GB2312" w:cs="仿宋_GB2312"/>
                <w:b w:val="0"/>
                <w:bCs w:val="0"/>
                <w:color w:val="auto"/>
                <w:sz w:val="22"/>
                <w:szCs w:val="22"/>
                <w:lang w:val="en-US" w:eastAsia="zh-CN"/>
              </w:rPr>
              <w:t>5</w:t>
            </w:r>
            <w:r>
              <w:rPr>
                <w:rFonts w:hint="eastAsia" w:ascii="仿宋_GB2312" w:hAnsi="仿宋_GB2312" w:eastAsia="仿宋_GB2312" w:cs="仿宋_GB2312"/>
                <w:b w:val="0"/>
                <w:bCs w:val="0"/>
                <w:color w:val="auto"/>
                <w:sz w:val="22"/>
                <w:szCs w:val="22"/>
              </w:rPr>
              <w:t>个</w:t>
            </w:r>
          </w:p>
        </w:tc>
      </w:tr>
      <w:tr w14:paraId="19F012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continue"/>
            <w:vAlign w:val="center"/>
          </w:tcPr>
          <w:p w14:paraId="2116DC71">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p>
        </w:tc>
        <w:tc>
          <w:tcPr>
            <w:tcW w:w="1772" w:type="dxa"/>
            <w:vAlign w:val="center"/>
          </w:tcPr>
          <w:p w14:paraId="68E7BC1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直流电机</w:t>
            </w:r>
          </w:p>
        </w:tc>
        <w:tc>
          <w:tcPr>
            <w:tcW w:w="3233" w:type="dxa"/>
            <w:vAlign w:val="center"/>
          </w:tcPr>
          <w:p w14:paraId="0E07AEF4">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高速TT电机</w:t>
            </w:r>
          </w:p>
          <w:p w14:paraId="6AD29335">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额定电压：DC 6V</w:t>
            </w:r>
          </w:p>
          <w:p w14:paraId="5DB4365F">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无负载速度：312RPM±10%</w:t>
            </w:r>
          </w:p>
          <w:p w14:paraId="016B162A">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齿轮比：1：48</w:t>
            </w:r>
          </w:p>
        </w:tc>
        <w:tc>
          <w:tcPr>
            <w:tcW w:w="2769" w:type="dxa"/>
            <w:vMerge w:val="continue"/>
            <w:vAlign w:val="center"/>
          </w:tcPr>
          <w:p w14:paraId="30DBA693">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p>
        </w:tc>
      </w:tr>
      <w:tr w14:paraId="26267A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continue"/>
            <w:vAlign w:val="center"/>
          </w:tcPr>
          <w:p w14:paraId="2FE926B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p>
        </w:tc>
        <w:tc>
          <w:tcPr>
            <w:tcW w:w="1772" w:type="dxa"/>
            <w:vAlign w:val="center"/>
          </w:tcPr>
          <w:p w14:paraId="4325DE00">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舵机</w:t>
            </w:r>
          </w:p>
        </w:tc>
        <w:tc>
          <w:tcPr>
            <w:tcW w:w="3233" w:type="dxa"/>
            <w:vAlign w:val="center"/>
          </w:tcPr>
          <w:p w14:paraId="6DFB843A">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MS-1.5A舵机</w:t>
            </w:r>
          </w:p>
          <w:p w14:paraId="376E4BEB">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工作电压：4.8-6V DC</w:t>
            </w:r>
          </w:p>
          <w:p w14:paraId="201E9AA7">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扭矩：1.5kg/CM</w:t>
            </w:r>
          </w:p>
        </w:tc>
        <w:tc>
          <w:tcPr>
            <w:tcW w:w="2769" w:type="dxa"/>
            <w:vMerge w:val="continue"/>
            <w:vAlign w:val="center"/>
          </w:tcPr>
          <w:p w14:paraId="492FCA46">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p>
        </w:tc>
      </w:tr>
      <w:tr w14:paraId="584095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restart"/>
            <w:vAlign w:val="center"/>
          </w:tcPr>
          <w:p w14:paraId="73ED6A9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无线通信</w:t>
            </w:r>
          </w:p>
        </w:tc>
        <w:tc>
          <w:tcPr>
            <w:tcW w:w="1772" w:type="dxa"/>
            <w:vAlign w:val="center"/>
          </w:tcPr>
          <w:p w14:paraId="69A10490">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蓝牙手柄</w:t>
            </w:r>
          </w:p>
        </w:tc>
        <w:tc>
          <w:tcPr>
            <w:tcW w:w="3233" w:type="dxa"/>
            <w:vAlign w:val="center"/>
          </w:tcPr>
          <w:p w14:paraId="5E36580A">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频带范围：2402-2480MHz</w:t>
            </w:r>
          </w:p>
          <w:p w14:paraId="21EC6092">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天线增益：1.5dBi</w:t>
            </w:r>
          </w:p>
          <w:p w14:paraId="1A9E782C">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工作电流：15mA</w:t>
            </w:r>
          </w:p>
        </w:tc>
        <w:tc>
          <w:tcPr>
            <w:tcW w:w="2769" w:type="dxa"/>
            <w:vAlign w:val="center"/>
          </w:tcPr>
          <w:p w14:paraId="4A630FE7">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p>
        </w:tc>
      </w:tr>
      <w:tr w14:paraId="572405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67" w:hRule="atLeast"/>
          <w:jc w:val="center"/>
        </w:trPr>
        <w:tc>
          <w:tcPr>
            <w:tcW w:w="1463" w:type="dxa"/>
            <w:vMerge w:val="continue"/>
            <w:vAlign w:val="center"/>
          </w:tcPr>
          <w:p w14:paraId="5A49DAFA">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p>
        </w:tc>
        <w:tc>
          <w:tcPr>
            <w:tcW w:w="1772" w:type="dxa"/>
            <w:vAlign w:val="center"/>
          </w:tcPr>
          <w:p w14:paraId="1212C5B5">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蓝牙模块</w:t>
            </w:r>
          </w:p>
        </w:tc>
        <w:tc>
          <w:tcPr>
            <w:tcW w:w="3233" w:type="dxa"/>
            <w:vAlign w:val="center"/>
          </w:tcPr>
          <w:p w14:paraId="2B0416E0">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蓝牙版本：BT4.0</w:t>
            </w:r>
          </w:p>
          <w:p w14:paraId="3ECF20F4">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频带范围：2402-2480MHz</w:t>
            </w:r>
          </w:p>
          <w:p w14:paraId="58A8E547">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天线增益：1.5dBi</w:t>
            </w:r>
          </w:p>
          <w:p w14:paraId="39D07126">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能耗等级：≤4dBm</w:t>
            </w:r>
          </w:p>
          <w:p w14:paraId="0FE587EA">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工作电流：15mA</w:t>
            </w:r>
          </w:p>
        </w:tc>
        <w:tc>
          <w:tcPr>
            <w:tcW w:w="2769" w:type="dxa"/>
            <w:vAlign w:val="center"/>
          </w:tcPr>
          <w:p w14:paraId="34043027">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p>
        </w:tc>
      </w:tr>
      <w:tr w14:paraId="0D7987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34" w:hRule="atLeast"/>
          <w:jc w:val="center"/>
        </w:trPr>
        <w:tc>
          <w:tcPr>
            <w:tcW w:w="1463" w:type="dxa"/>
            <w:vAlign w:val="center"/>
          </w:tcPr>
          <w:p w14:paraId="15E2E7F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电池</w:t>
            </w:r>
          </w:p>
        </w:tc>
        <w:tc>
          <w:tcPr>
            <w:tcW w:w="1772" w:type="dxa"/>
            <w:vAlign w:val="center"/>
          </w:tcPr>
          <w:p w14:paraId="15B3551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18650电池</w:t>
            </w:r>
          </w:p>
        </w:tc>
        <w:tc>
          <w:tcPr>
            <w:tcW w:w="3233" w:type="dxa"/>
            <w:vAlign w:val="center"/>
          </w:tcPr>
          <w:p w14:paraId="5883ADDF">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电池参数：3.7V 2500mAh</w:t>
            </w:r>
          </w:p>
          <w:p w14:paraId="3F794868">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输出电压/电流：5V 6A</w:t>
            </w:r>
          </w:p>
        </w:tc>
        <w:tc>
          <w:tcPr>
            <w:tcW w:w="2769" w:type="dxa"/>
            <w:vAlign w:val="center"/>
          </w:tcPr>
          <w:p w14:paraId="4198FC83">
            <w:pPr>
              <w:pStyle w:val="34"/>
              <w:pageBreakBefore w:val="0"/>
              <w:kinsoku/>
              <w:overflowPunct/>
              <w:topLinePunct w:val="0"/>
              <w:autoSpaceDE/>
              <w:autoSpaceDN/>
              <w:bidi w:val="0"/>
              <w:adjustRightInd w:val="0"/>
              <w:snapToGrid w:val="0"/>
              <w:spacing w:line="360" w:lineRule="auto"/>
              <w:ind w:firstLine="0"/>
              <w:jc w:val="left"/>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不得擅自改动电池组件，若因此造成意外，需自行承担；不可使用外接电池</w:t>
            </w:r>
          </w:p>
        </w:tc>
      </w:tr>
    </w:tbl>
    <w:p w14:paraId="6DA6E8AC">
      <w:pPr>
        <w:keepNext w:val="0"/>
        <w:keepLines w:val="0"/>
        <w:pageBreakBefore w:val="0"/>
        <w:widowControl w:val="0"/>
        <w:numPr>
          <w:ilvl w:val="0"/>
          <w:numId w:val="11"/>
        </w:numPr>
        <w:kinsoku/>
        <w:wordWrap/>
        <w:overflowPunct/>
        <w:topLinePunct w:val="0"/>
        <w:autoSpaceDE/>
        <w:autoSpaceDN/>
        <w:bidi w:val="0"/>
        <w:adjustRightInd w:val="0"/>
        <w:snapToGrid w:val="0"/>
        <w:spacing w:before="260" w:after="260" w:line="360" w:lineRule="auto"/>
        <w:jc w:val="left"/>
        <w:textAlignment w:val="auto"/>
        <w:outlineLvl w:val="0"/>
        <w:rPr>
          <w:rFonts w:hint="eastAsia" w:ascii="仿宋_GB2312" w:hAnsi="仿宋_GB2312" w:eastAsia="仿宋_GB2312" w:cs="仿宋_GB2312"/>
          <w:b/>
          <w:color w:val="D83931"/>
          <w:sz w:val="40"/>
          <w:szCs w:val="40"/>
          <w:lang w:val="en-US" w:eastAsia="zh-CN"/>
        </w:rPr>
      </w:pPr>
      <w:bookmarkStart w:id="3" w:name="_Toc21206"/>
      <w:r>
        <w:rPr>
          <w:rFonts w:hint="eastAsia" w:ascii="仿宋_GB2312" w:hAnsi="仿宋_GB2312" w:eastAsia="仿宋_GB2312" w:cs="仿宋_GB2312"/>
          <w:b/>
          <w:color w:val="D83931"/>
          <w:sz w:val="40"/>
          <w:szCs w:val="40"/>
          <w:lang w:val="en-US" w:eastAsia="zh-CN"/>
        </w:rPr>
        <w:t>比赛场地及道具</w:t>
      </w:r>
      <w:bookmarkEnd w:id="3"/>
    </w:p>
    <w:p w14:paraId="55F8BA00">
      <w:pPr>
        <w:pageBreakBefore w:val="0"/>
        <w:numPr>
          <w:ilvl w:val="0"/>
          <w:numId w:val="0"/>
        </w:numPr>
        <w:kinsoku/>
        <w:overflowPunct/>
        <w:topLinePunct w:val="0"/>
        <w:autoSpaceDE/>
        <w:autoSpaceDN/>
        <w:bidi w:val="0"/>
        <w:adjustRightInd w:val="0"/>
        <w:snapToGrid w:val="0"/>
        <w:spacing w:before="320" w:after="120" w:line="360" w:lineRule="auto"/>
        <w:ind w:leftChars="0"/>
        <w:jc w:val="left"/>
        <w:textAlignment w:val="auto"/>
        <w:outlineLvl w:val="1"/>
        <w:rPr>
          <w:rFonts w:hint="eastAsia" w:ascii="仿宋_GB2312" w:hAnsi="仿宋_GB2312" w:eastAsia="仿宋_GB2312" w:cs="仿宋_GB2312"/>
          <w:b/>
          <w:color w:val="D83931"/>
          <w:sz w:val="36"/>
          <w:szCs w:val="36"/>
        </w:rPr>
      </w:pPr>
      <w:bookmarkStart w:id="4" w:name="_Toc13969"/>
      <w:r>
        <w:rPr>
          <w:rFonts w:hint="eastAsia" w:ascii="仿宋_GB2312" w:hAnsi="仿宋_GB2312" w:eastAsia="仿宋_GB2312" w:cs="仿宋_GB2312"/>
          <w:b/>
          <w:color w:val="D83931"/>
          <w:sz w:val="36"/>
          <w:szCs w:val="36"/>
          <w:lang w:val="en-US" w:eastAsia="zh-CN"/>
        </w:rPr>
        <w:t xml:space="preserve">3.1 </w:t>
      </w:r>
      <w:r>
        <w:rPr>
          <w:rFonts w:hint="eastAsia" w:ascii="仿宋_GB2312" w:hAnsi="仿宋_GB2312" w:eastAsia="仿宋_GB2312" w:cs="仿宋_GB2312"/>
          <w:b/>
          <w:color w:val="D83931"/>
          <w:sz w:val="36"/>
          <w:szCs w:val="36"/>
        </w:rPr>
        <w:t>场地说明</w:t>
      </w:r>
      <w:bookmarkEnd w:id="4"/>
    </w:p>
    <w:p w14:paraId="45586F50">
      <w:pPr>
        <w:pageBreakBefore w:val="0"/>
        <w:kinsoku/>
        <w:wordWrap w:val="0"/>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kern w:val="0"/>
          <w:sz w:val="32"/>
          <w:szCs w:val="32"/>
          <w:lang w:eastAsia="zh-CN"/>
        </w:rPr>
      </w:pPr>
      <w:r>
        <w:rPr>
          <w:rFonts w:hint="eastAsia" w:ascii="仿宋_GB2312" w:hAnsi="仿宋_GB2312" w:eastAsia="仿宋_GB2312" w:cs="仿宋_GB2312"/>
          <w:sz w:val="32"/>
          <w:szCs w:val="32"/>
        </w:rPr>
        <w:t>比赛场地由地图及边框组成，场地边框外尺寸为1200mm*1200mm，边框内尺寸为1170mm*1170mm。地图主要包括基站区、投递区、中央集散区、周边集散区4个区域。</w:t>
      </w:r>
    </w:p>
    <w:p w14:paraId="4F9E9D75">
      <w:pPr>
        <w:pageBreakBefore w:val="0"/>
        <w:widowControl/>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kern w:val="0"/>
          <w:sz w:val="32"/>
          <w:szCs w:val="32"/>
          <w:lang w:eastAsia="zh-CN"/>
        </w:rPr>
      </w:pPr>
      <w:r>
        <w:rPr>
          <w:rFonts w:hint="eastAsia" w:ascii="仿宋_GB2312" w:hAnsi="仿宋_GB2312" w:eastAsia="仿宋_GB2312" w:cs="仿宋_GB2312"/>
          <w:kern w:val="0"/>
          <w:sz w:val="32"/>
          <w:szCs w:val="32"/>
          <w:lang w:eastAsia="zh-CN"/>
        </w:rPr>
        <w:drawing>
          <wp:inline distT="0" distB="0" distL="114300" distR="114300">
            <wp:extent cx="4088765" cy="2272665"/>
            <wp:effectExtent l="0" t="0" r="6985" b="13335"/>
            <wp:docPr id="20" name="图片 2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片1"/>
                    <pic:cNvPicPr>
                      <a:picLocks noChangeAspect="1"/>
                    </pic:cNvPicPr>
                  </pic:nvPicPr>
                  <pic:blipFill>
                    <a:blip r:embed="rId18"/>
                    <a:srcRect t="7371" b="2457"/>
                    <a:stretch>
                      <a:fillRect/>
                    </a:stretch>
                  </pic:blipFill>
                  <pic:spPr>
                    <a:xfrm>
                      <a:off x="0" y="0"/>
                      <a:ext cx="4088765" cy="2272665"/>
                    </a:xfrm>
                    <a:prstGeom prst="rect">
                      <a:avLst/>
                    </a:prstGeom>
                  </pic:spPr>
                </pic:pic>
              </a:graphicData>
            </a:graphic>
          </wp:inline>
        </w:drawing>
      </w:r>
    </w:p>
    <w:p w14:paraId="6A8C5585">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图</w:t>
      </w:r>
      <w:r>
        <w:rPr>
          <w:rFonts w:hint="eastAsia" w:ascii="仿宋_GB2312" w:hAnsi="仿宋_GB2312" w:eastAsia="仿宋_GB2312" w:cs="仿宋_GB2312"/>
          <w:b w:val="0"/>
          <w:bCs/>
          <w:sz w:val="28"/>
          <w:szCs w:val="28"/>
          <w:lang w:val="en-US" w:eastAsia="zh-CN"/>
        </w:rPr>
        <w:t>3.1</w:t>
      </w:r>
      <w:r>
        <w:rPr>
          <w:rFonts w:hint="eastAsia" w:ascii="仿宋_GB2312" w:hAnsi="仿宋_GB2312" w:eastAsia="仿宋_GB2312" w:cs="仿宋_GB2312"/>
          <w:b w:val="0"/>
          <w:bCs/>
          <w:sz w:val="28"/>
          <w:szCs w:val="28"/>
        </w:rPr>
        <w:t>-1 场地整体轴侧图</w:t>
      </w:r>
    </w:p>
    <w:p w14:paraId="1320DD9C">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基站区/投递区：</w:t>
      </w:r>
    </w:p>
    <w:p w14:paraId="6EE254E7">
      <w:pPr>
        <w:pageBreakBefore w:val="0"/>
        <w:kinsoku/>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ab/>
      </w:r>
      <w:r>
        <w:rPr>
          <w:rFonts w:hint="eastAsia" w:ascii="仿宋_GB2312" w:hAnsi="仿宋_GB2312" w:eastAsia="仿宋_GB2312" w:cs="仿宋_GB2312"/>
          <w:bCs/>
          <w:sz w:val="32"/>
          <w:szCs w:val="32"/>
        </w:rPr>
        <w:t>比赛场地共设置5个250mm×250mm的区域。在赛前，参赛选手需从中选择1个区域作为本队的基站区。剩余4个区域将自动成为投递区，作为任务目标区域使用。</w:t>
      </w:r>
    </w:p>
    <w:p w14:paraId="4BA16E4D">
      <w:pPr>
        <w:pageBreakBefore w:val="0"/>
        <w:kinsoku/>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基站区用于机器人起始；投递区则作为任务道具分拣或摆放。</w:t>
      </w:r>
    </w:p>
    <w:p w14:paraId="33C430B2">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中央集散区：</w:t>
      </w:r>
    </w:p>
    <w:p w14:paraId="38C27FE9">
      <w:pPr>
        <w:pageBreakBefore w:val="0"/>
        <w:kinsoku/>
        <w:overflowPunct/>
        <w:topLinePunct w:val="0"/>
        <w:autoSpaceDE/>
        <w:autoSpaceDN/>
        <w:bidi w:val="0"/>
        <w:adjustRightInd w:val="0"/>
        <w:snapToGrid w:val="0"/>
        <w:spacing w:line="360" w:lineRule="auto"/>
        <w:ind w:firstLine="420"/>
        <w:jc w:val="left"/>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位于场地中心区域的4个正方形区域，</w:t>
      </w:r>
      <w:bookmarkStart w:id="5" w:name="_Hlk126915865"/>
      <w:r>
        <w:rPr>
          <w:rFonts w:hint="eastAsia" w:ascii="仿宋_GB2312" w:hAnsi="仿宋_GB2312" w:eastAsia="仿宋_GB2312" w:cs="仿宋_GB2312"/>
          <w:bCs/>
          <w:sz w:val="32"/>
          <w:szCs w:val="32"/>
        </w:rPr>
        <w:t>尺寸为250mm*250mm</w:t>
      </w:r>
      <w:bookmarkEnd w:id="5"/>
      <w:r>
        <w:rPr>
          <w:rFonts w:hint="eastAsia" w:ascii="仿宋_GB2312" w:hAnsi="仿宋_GB2312" w:eastAsia="仿宋_GB2312" w:cs="仿宋_GB2312"/>
          <w:bCs/>
          <w:sz w:val="32"/>
          <w:szCs w:val="32"/>
        </w:rPr>
        <w:t>。</w:t>
      </w:r>
    </w:p>
    <w:p w14:paraId="3AAAB77F">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周边集散区：</w:t>
      </w:r>
    </w:p>
    <w:p w14:paraId="57B50C9E">
      <w:pPr>
        <w:pageBreakBefore w:val="0"/>
        <w:kinsoku/>
        <w:overflowPunct/>
        <w:topLinePunct w:val="0"/>
        <w:autoSpaceDE/>
        <w:autoSpaceDN/>
        <w:bidi w:val="0"/>
        <w:adjustRightInd w:val="0"/>
        <w:snapToGrid w:val="0"/>
        <w:spacing w:line="360" w:lineRule="auto"/>
        <w:ind w:firstLine="420"/>
        <w:jc w:val="left"/>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位于场地四边的长方形区域，共有4个，尺寸为120mm*350mm。</w:t>
      </w:r>
    </w:p>
    <w:p w14:paraId="6933D6A4">
      <w:pPr>
        <w:pageBreakBefore w:val="0"/>
        <w:kinsoku/>
        <w:overflowPunct/>
        <w:topLinePunct w:val="0"/>
        <w:autoSpaceDE/>
        <w:autoSpaceDN/>
        <w:bidi w:val="0"/>
        <w:adjustRightInd w:val="0"/>
        <w:snapToGrid w:val="0"/>
        <w:spacing w:before="320" w:after="120" w:line="360" w:lineRule="auto"/>
        <w:jc w:val="left"/>
        <w:textAlignment w:val="auto"/>
        <w:outlineLvl w:val="1"/>
        <w:rPr>
          <w:rFonts w:hint="eastAsia" w:ascii="仿宋_GB2312" w:hAnsi="仿宋_GB2312" w:eastAsia="仿宋_GB2312" w:cs="仿宋_GB2312"/>
          <w:b/>
          <w:bCs w:val="0"/>
          <w:sz w:val="36"/>
          <w:szCs w:val="36"/>
        </w:rPr>
      </w:pPr>
      <w:bookmarkStart w:id="6" w:name="_Toc31822"/>
      <w:r>
        <w:rPr>
          <w:rFonts w:hint="eastAsia" w:ascii="仿宋_GB2312" w:hAnsi="仿宋_GB2312" w:eastAsia="仿宋_GB2312" w:cs="仿宋_GB2312"/>
          <w:b/>
          <w:bCs w:val="0"/>
          <w:color w:val="D83931"/>
          <w:sz w:val="36"/>
          <w:szCs w:val="36"/>
          <w:lang w:val="en-US" w:eastAsia="zh-CN"/>
        </w:rPr>
        <w:t>3</w:t>
      </w:r>
      <w:r>
        <w:rPr>
          <w:rFonts w:hint="eastAsia" w:ascii="仿宋_GB2312" w:hAnsi="仿宋_GB2312" w:eastAsia="仿宋_GB2312" w:cs="仿宋_GB2312"/>
          <w:b/>
          <w:bCs w:val="0"/>
          <w:color w:val="D83931"/>
          <w:sz w:val="36"/>
          <w:szCs w:val="36"/>
        </w:rPr>
        <w:t>.2 道具清单</w:t>
      </w:r>
      <w:bookmarkEnd w:id="6"/>
    </w:p>
    <w:p w14:paraId="765796C1">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color w:val="auto"/>
          <w:sz w:val="32"/>
          <w:szCs w:val="32"/>
        </w:rPr>
        <w:t>道具名称</w:t>
      </w:r>
      <w:r>
        <w:rPr>
          <w:rFonts w:hint="eastAsia" w:ascii="仿宋_GB2312" w:hAnsi="仿宋_GB2312" w:eastAsia="仿宋_GB2312" w:cs="仿宋_GB2312"/>
          <w:color w:val="auto"/>
          <w:sz w:val="32"/>
          <w:szCs w:val="32"/>
        </w:rPr>
        <w:t>：加密环</w:t>
      </w:r>
    </w:p>
    <w:p w14:paraId="193F734F">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外径为70mm（±2mm），内径为40mm的圆环</w:t>
      </w:r>
    </w:p>
    <w:p w14:paraId="678A8D98">
      <w:pPr>
        <w:pStyle w:val="34"/>
        <w:pageBreakBefore w:val="0"/>
        <w:kinsoku/>
        <w:overflowPunct/>
        <w:topLinePunct w:val="0"/>
        <w:autoSpaceDE/>
        <w:autoSpaceDN/>
        <w:bidi w:val="0"/>
        <w:adjustRightInd w:val="0"/>
        <w:snapToGrid w:val="0"/>
        <w:spacing w:after="120" w:afterLines="50" w:line="360" w:lineRule="auto"/>
        <w:ind w:firstLine="643" w:firstLineChars="200"/>
        <w:jc w:val="left"/>
        <w:textAlignment w:val="auto"/>
        <w:rPr>
          <w:rFonts w:hint="default"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红色、黄色</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蓝色、绿色</w:t>
      </w:r>
    </w:p>
    <w:p w14:paraId="64DC1AE5">
      <w:pPr>
        <w:pStyle w:val="34"/>
        <w:pageBreakBefore w:val="0"/>
        <w:kinsoku/>
        <w:overflowPunct/>
        <w:topLinePunct w:val="0"/>
        <w:autoSpaceDE/>
        <w:autoSpaceDN/>
        <w:bidi w:val="0"/>
        <w:adjustRightInd w:val="0"/>
        <w:snapToGrid w:val="0"/>
        <w:spacing w:after="120" w:afterLines="50" w:line="360" w:lineRule="auto"/>
        <w:ind w:firstLine="640" w:firstLineChars="200"/>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drawing>
          <wp:inline distT="0" distB="0" distL="114300" distR="114300">
            <wp:extent cx="4319905" cy="1054100"/>
            <wp:effectExtent l="0" t="0" r="8255" b="12700"/>
            <wp:docPr id="2943928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92888" name="图片 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20000" cy="1054395"/>
                    </a:xfrm>
                    <a:prstGeom prst="rect">
                      <a:avLst/>
                    </a:prstGeom>
                  </pic:spPr>
                </pic:pic>
              </a:graphicData>
            </a:graphic>
          </wp:inline>
        </w:drawing>
      </w:r>
    </w:p>
    <w:p w14:paraId="1290563A">
      <w:pPr>
        <w:pStyle w:val="34"/>
        <w:pageBreakBefore w:val="0"/>
        <w:kinsoku/>
        <w:overflowPunct/>
        <w:topLinePunct w:val="0"/>
        <w:autoSpaceDE/>
        <w:autoSpaceDN/>
        <w:bidi w:val="0"/>
        <w:adjustRightInd w:val="0"/>
        <w:snapToGrid w:val="0"/>
        <w:spacing w:after="120"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color w:val="000000" w:themeColor="text1"/>
          <w:sz w:val="28"/>
          <w:szCs w:val="28"/>
          <w:lang w:val="en-US" w:eastAsia="zh-CN"/>
          <w14:textFill>
            <w14:solidFill>
              <w14:schemeClr w14:val="tx1"/>
            </w14:solidFill>
          </w14:textFill>
        </w:rPr>
        <w:t>3.2</w:t>
      </w:r>
      <w:r>
        <w:rPr>
          <w:rFonts w:hint="eastAsia" w:ascii="仿宋_GB2312" w:hAnsi="仿宋_GB2312" w:eastAsia="仿宋_GB2312" w:cs="仿宋_GB2312"/>
          <w:bCs/>
          <w:color w:val="auto"/>
          <w:sz w:val="28"/>
          <w:szCs w:val="28"/>
        </w:rPr>
        <w:t>-1加密环示意图</w:t>
      </w:r>
    </w:p>
    <w:p w14:paraId="46489968">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color w:val="auto"/>
          <w:sz w:val="32"/>
          <w:szCs w:val="32"/>
        </w:rPr>
        <w:t>道具名称：</w:t>
      </w:r>
      <w:r>
        <w:rPr>
          <w:rFonts w:hint="eastAsia" w:ascii="仿宋_GB2312" w:hAnsi="仿宋_GB2312" w:eastAsia="仿宋_GB2312" w:cs="仿宋_GB2312"/>
          <w:color w:val="auto"/>
          <w:sz w:val="32"/>
          <w:szCs w:val="32"/>
        </w:rPr>
        <w:t>信标塔</w:t>
      </w:r>
    </w:p>
    <w:p w14:paraId="6A31F64F">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底部直径为70mm，柱子本体直径为30mm，整体高度为100mm</w:t>
      </w:r>
    </w:p>
    <w:p w14:paraId="4A67BA84">
      <w:pPr>
        <w:pStyle w:val="34"/>
        <w:pageBreakBefore w:val="0"/>
        <w:kinsoku/>
        <w:overflowPunct/>
        <w:topLinePunct w:val="0"/>
        <w:autoSpaceDE/>
        <w:autoSpaceDN/>
        <w:bidi w:val="0"/>
        <w:adjustRightInd w:val="0"/>
        <w:snapToGrid w:val="0"/>
        <w:spacing w:after="120" w:afterLines="50" w:line="360" w:lineRule="auto"/>
        <w:ind w:firstLine="643" w:firstLineChars="200"/>
        <w:jc w:val="both"/>
        <w:textAlignment w:val="auto"/>
        <w:rPr>
          <w:rFonts w:hint="default"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红色、黄色</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蓝色、绿色</w:t>
      </w:r>
    </w:p>
    <w:p w14:paraId="695F637E">
      <w:pPr>
        <w:pStyle w:val="34"/>
        <w:pageBreakBefore w:val="0"/>
        <w:kinsoku/>
        <w:overflowPunct/>
        <w:topLinePunct w:val="0"/>
        <w:autoSpaceDE/>
        <w:autoSpaceDN/>
        <w:bidi w:val="0"/>
        <w:adjustRightInd w:val="0"/>
        <w:snapToGrid w:val="0"/>
        <w:spacing w:after="120" w:afterLines="50" w:line="360" w:lineRule="auto"/>
        <w:ind w:firstLine="643" w:firstLineChars="200"/>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drawing>
          <wp:inline distT="0" distB="0" distL="114300" distR="114300">
            <wp:extent cx="4319905" cy="1186815"/>
            <wp:effectExtent l="0" t="0" r="8255" b="1905"/>
            <wp:docPr id="943953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953819" name="图片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320000" cy="1186965"/>
                    </a:xfrm>
                    <a:prstGeom prst="rect">
                      <a:avLst/>
                    </a:prstGeom>
                  </pic:spPr>
                </pic:pic>
              </a:graphicData>
            </a:graphic>
          </wp:inline>
        </w:drawing>
      </w:r>
    </w:p>
    <w:p w14:paraId="6B9B8F98">
      <w:pPr>
        <w:pStyle w:val="34"/>
        <w:pageBreakBefore w:val="0"/>
        <w:kinsoku/>
        <w:overflowPunct/>
        <w:topLinePunct w:val="0"/>
        <w:autoSpaceDE/>
        <w:autoSpaceDN/>
        <w:bidi w:val="0"/>
        <w:adjustRightInd w:val="0"/>
        <w:snapToGrid w:val="0"/>
        <w:spacing w:after="120"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lang w:val="en-US" w:eastAsia="zh-CN"/>
        </w:rPr>
        <w:t>3.2</w:t>
      </w:r>
      <w:r>
        <w:rPr>
          <w:rFonts w:hint="eastAsia" w:ascii="仿宋_GB2312" w:hAnsi="仿宋_GB2312" w:eastAsia="仿宋_GB2312" w:cs="仿宋_GB2312"/>
          <w:bCs/>
          <w:color w:val="auto"/>
          <w:sz w:val="28"/>
          <w:szCs w:val="28"/>
        </w:rPr>
        <w:t>-2信标塔示意图</w:t>
      </w:r>
    </w:p>
    <w:p w14:paraId="57BF4DA8">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*注：所有场地及道具具有一定的合理误差</w:t>
      </w:r>
      <w:r>
        <w:rPr>
          <w:rFonts w:hint="eastAsia" w:ascii="仿宋_GB2312" w:hAnsi="仿宋_GB2312" w:eastAsia="仿宋_GB2312" w:cs="仿宋_GB2312"/>
          <w:bCs/>
          <w:sz w:val="32"/>
          <w:szCs w:val="32"/>
          <w:lang w:eastAsia="zh-CN"/>
        </w:rPr>
        <w:t>，</w:t>
      </w:r>
      <w:r>
        <w:rPr>
          <w:rFonts w:hint="eastAsia" w:ascii="仿宋_GB2312" w:hAnsi="仿宋_GB2312" w:eastAsia="仿宋_GB2312" w:cs="仿宋_GB2312"/>
          <w:bCs/>
          <w:sz w:val="32"/>
          <w:szCs w:val="32"/>
        </w:rPr>
        <w:t xml:space="preserve">如现场有其他适配道具，选手可在赛前申请替换。 </w:t>
      </w:r>
    </w:p>
    <w:p w14:paraId="5F6661FF">
      <w:pPr>
        <w:keepNext w:val="0"/>
        <w:keepLines w:val="0"/>
        <w:pageBreakBefore w:val="0"/>
        <w:widowControl w:val="0"/>
        <w:numPr>
          <w:ilvl w:val="0"/>
          <w:numId w:val="11"/>
        </w:numPr>
        <w:kinsoku/>
        <w:wordWrap/>
        <w:overflowPunct/>
        <w:topLinePunct w:val="0"/>
        <w:autoSpaceDE/>
        <w:autoSpaceDN/>
        <w:bidi w:val="0"/>
        <w:adjustRightInd w:val="0"/>
        <w:snapToGrid w:val="0"/>
        <w:spacing w:before="260" w:after="260" w:line="360" w:lineRule="auto"/>
        <w:jc w:val="left"/>
        <w:textAlignment w:val="auto"/>
        <w:outlineLvl w:val="0"/>
        <w:rPr>
          <w:rFonts w:hint="eastAsia" w:ascii="仿宋_GB2312" w:hAnsi="仿宋_GB2312" w:eastAsia="仿宋_GB2312" w:cs="仿宋_GB2312"/>
          <w:b/>
          <w:color w:val="D83931"/>
          <w:sz w:val="40"/>
          <w:szCs w:val="40"/>
          <w:lang w:val="en-US" w:eastAsia="zh-CN"/>
        </w:rPr>
      </w:pPr>
      <w:bookmarkStart w:id="7" w:name="_Toc18877"/>
      <w:r>
        <w:rPr>
          <w:rFonts w:hint="eastAsia" w:ascii="仿宋_GB2312" w:hAnsi="仿宋_GB2312" w:eastAsia="仿宋_GB2312" w:cs="仿宋_GB2312"/>
          <w:b/>
          <w:color w:val="D83931"/>
          <w:sz w:val="40"/>
          <w:szCs w:val="40"/>
          <w:lang w:val="en-US" w:eastAsia="zh-CN"/>
        </w:rPr>
        <w:t>任务介绍及得分判定</w:t>
      </w:r>
      <w:bookmarkEnd w:id="7"/>
    </w:p>
    <w:p w14:paraId="1565BBBC">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单场比赛中，每支战队需完成一个任务，不限定任务的完成方式，参赛战队可使用自动程序或手动程序完成任务。</w:t>
      </w:r>
    </w:p>
    <w:p w14:paraId="7ADFCD1F">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任务背景：</w:t>
      </w:r>
      <w:r>
        <w:rPr>
          <w:rFonts w:hint="eastAsia" w:ascii="仿宋_GB2312" w:hAnsi="仿宋_GB2312" w:eastAsia="仿宋_GB2312" w:cs="仿宋_GB2312"/>
          <w:color w:val="auto"/>
          <w:sz w:val="32"/>
          <w:szCs w:val="32"/>
        </w:rPr>
        <w:t>在人工智能的驱动下，机器人将帮助人类实现更高效、更安全的通信与信息传递。</w:t>
      </w:r>
    </w:p>
    <w:p w14:paraId="76CD167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b/>
          <w:color w:val="auto"/>
          <w:sz w:val="32"/>
          <w:szCs w:val="32"/>
        </w:rPr>
        <w:t>任务内容：</w:t>
      </w:r>
      <w:r>
        <w:rPr>
          <w:rFonts w:hint="eastAsia" w:ascii="仿宋_GB2312" w:hAnsi="仿宋_GB2312" w:eastAsia="仿宋_GB2312" w:cs="仿宋_GB2312"/>
          <w:color w:val="auto"/>
          <w:sz w:val="32"/>
          <w:szCs w:val="32"/>
        </w:rPr>
        <w:t>机器人将加密环分配到对应颜色的信标塔区域或信标塔上</w:t>
      </w:r>
      <w:r>
        <w:rPr>
          <w:rFonts w:hint="eastAsia" w:ascii="仿宋_GB2312" w:hAnsi="仿宋_GB2312" w:eastAsia="仿宋_GB2312" w:cs="仿宋_GB2312"/>
          <w:color w:val="auto"/>
          <w:sz w:val="32"/>
          <w:szCs w:val="32"/>
          <w:lang w:eastAsia="zh-CN"/>
        </w:rPr>
        <w:t>。</w:t>
      </w:r>
    </w:p>
    <w:p w14:paraId="34E2FABE">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b/>
          <w:color w:val="auto"/>
          <w:sz w:val="32"/>
          <w:szCs w:val="32"/>
        </w:rPr>
        <w:t>任务道具：</w:t>
      </w:r>
      <w:r>
        <w:rPr>
          <w:rFonts w:hint="eastAsia" w:ascii="仿宋_GB2312" w:hAnsi="仿宋_GB2312" w:eastAsia="仿宋_GB2312" w:cs="仿宋_GB2312"/>
          <w:color w:val="auto"/>
          <w:sz w:val="32"/>
          <w:szCs w:val="32"/>
        </w:rPr>
        <w:t>红、黄、蓝、绿的加密环各4个，红、黄、蓝、绿的信标塔各1个</w:t>
      </w:r>
      <w:r>
        <w:rPr>
          <w:rFonts w:hint="eastAsia" w:ascii="仿宋_GB2312" w:hAnsi="仿宋_GB2312" w:eastAsia="仿宋_GB2312" w:cs="仿宋_GB2312"/>
          <w:color w:val="auto"/>
          <w:sz w:val="32"/>
          <w:szCs w:val="32"/>
          <w:lang w:eastAsia="zh-CN"/>
        </w:rPr>
        <w:t>。</w:t>
      </w:r>
    </w:p>
    <w:p w14:paraId="3C614C4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初始状态：</w:t>
      </w:r>
      <w:r>
        <w:rPr>
          <w:rFonts w:hint="eastAsia" w:ascii="仿宋_GB2312" w:hAnsi="仿宋_GB2312" w:eastAsia="仿宋_GB2312" w:cs="仿宋_GB2312"/>
          <w:color w:val="auto"/>
          <w:sz w:val="32"/>
          <w:szCs w:val="32"/>
        </w:rPr>
        <w:t>每支战队需选定场地中任意1个250mm*250mm区域作为本队基站区，其余 4个区域自动成为投递区； 红、黄、蓝、绿四座信标塔，分别放置于4个投递区的中央圆形区域内，各信标塔的具体颜色分配由参赛战队在赛前自行决定；加密环共四组，颜色顺序为红、黄、蓝、绿，由上至下依次排列，所有加密环均统一放置于中央集散区的四个圆形区域内。</w:t>
      </w:r>
    </w:p>
    <w:p w14:paraId="41AC5A74">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sz w:val="32"/>
          <w:szCs w:val="32"/>
        </w:rPr>
        <w:drawing>
          <wp:inline distT="0" distB="0" distL="114300" distR="114300">
            <wp:extent cx="3426460" cy="2112010"/>
            <wp:effectExtent l="0" t="0" r="2540" b="2540"/>
            <wp:docPr id="463344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344462" name="图片 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426460" cy="2112010"/>
                    </a:xfrm>
                    <a:prstGeom prst="rect">
                      <a:avLst/>
                    </a:prstGeom>
                  </pic:spPr>
                </pic:pic>
              </a:graphicData>
            </a:graphic>
          </wp:inline>
        </w:drawing>
      </w:r>
    </w:p>
    <w:p w14:paraId="00787444">
      <w:pPr>
        <w:pStyle w:val="34"/>
        <w:pageBreakBefore w:val="0"/>
        <w:kinsoku/>
        <w:overflowPunct/>
        <w:topLinePunct w:val="0"/>
        <w:autoSpaceDE/>
        <w:autoSpaceDN/>
        <w:bidi w:val="0"/>
        <w:adjustRightInd w:val="0"/>
        <w:snapToGrid w:val="0"/>
        <w:spacing w:after="120"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图4-1 M01任务初始位置示意图</w:t>
      </w:r>
    </w:p>
    <w:p w14:paraId="2810FD64">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b/>
          <w:color w:val="auto"/>
          <w:sz w:val="32"/>
          <w:szCs w:val="32"/>
        </w:rPr>
        <w:t>任务分值：</w:t>
      </w:r>
      <w:r>
        <w:rPr>
          <w:rFonts w:hint="eastAsia" w:ascii="仿宋_GB2312" w:hAnsi="仿宋_GB2312" w:eastAsia="仿宋_GB2312" w:cs="仿宋_GB2312"/>
          <w:color w:val="auto"/>
          <w:sz w:val="32"/>
          <w:szCs w:val="32"/>
        </w:rPr>
        <w:t>将对应颜色的加密环转运至对应颜色信标塔所在的投递区内，计10分/个；将对应颜色的加密环套在对应颜色的信标塔上，计50分/个</w:t>
      </w:r>
      <w:r>
        <w:rPr>
          <w:rFonts w:hint="eastAsia" w:ascii="仿宋_GB2312" w:hAnsi="仿宋_GB2312" w:eastAsia="仿宋_GB2312" w:cs="仿宋_GB2312"/>
          <w:color w:val="auto"/>
          <w:sz w:val="32"/>
          <w:szCs w:val="32"/>
          <w:lang w:eastAsia="zh-CN"/>
        </w:rPr>
        <w:t>。</w:t>
      </w:r>
    </w:p>
    <w:p w14:paraId="2ED5B10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得分判定：</w:t>
      </w:r>
      <w:r>
        <w:rPr>
          <w:rFonts w:hint="eastAsia" w:ascii="仿宋_GB2312" w:hAnsi="仿宋_GB2312" w:eastAsia="仿宋_GB2312" w:cs="仿宋_GB2312"/>
          <w:color w:val="auto"/>
          <w:sz w:val="32"/>
          <w:szCs w:val="32"/>
        </w:rPr>
        <w:t>比赛结束后的计分时刻</w:t>
      </w:r>
    </w:p>
    <w:p w14:paraId="56F46A3C">
      <w:pPr>
        <w:pStyle w:val="34"/>
        <w:pageBreakBefore w:val="0"/>
        <w:kinsoku/>
        <w:overflowPunct/>
        <w:topLinePunct w:val="0"/>
        <w:autoSpaceDE/>
        <w:autoSpaceDN/>
        <w:bidi w:val="0"/>
        <w:adjustRightInd w:val="0"/>
        <w:snapToGrid w:val="0"/>
        <w:spacing w:line="360" w:lineRule="auto"/>
        <w:ind w:left="369"/>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a.信标塔垂直投影完全在初始投递区内，且为直立状态，不与机器人直接接触；</w:t>
      </w:r>
    </w:p>
    <w:p w14:paraId="799C7372">
      <w:pPr>
        <w:pStyle w:val="34"/>
        <w:pageBreakBefore w:val="0"/>
        <w:kinsoku/>
        <w:overflowPunct/>
        <w:topLinePunct w:val="0"/>
        <w:autoSpaceDE/>
        <w:autoSpaceDN/>
        <w:bidi w:val="0"/>
        <w:adjustRightInd w:val="0"/>
        <w:snapToGrid w:val="0"/>
        <w:spacing w:line="360" w:lineRule="auto"/>
        <w:ind w:left="369"/>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b.加密环颜色与投递区信标塔颜色一致，不与机器人直接接触；</w:t>
      </w:r>
    </w:p>
    <w:p w14:paraId="0205D74D">
      <w:pPr>
        <w:pStyle w:val="34"/>
        <w:pageBreakBefore w:val="0"/>
        <w:kinsoku/>
        <w:overflowPunct/>
        <w:topLinePunct w:val="0"/>
        <w:autoSpaceDE/>
        <w:autoSpaceDN/>
        <w:bidi w:val="0"/>
        <w:adjustRightInd w:val="0"/>
        <w:snapToGrid w:val="0"/>
        <w:spacing w:line="360" w:lineRule="auto"/>
        <w:ind w:left="369"/>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c.加密环垂直投影完全进入对应颜色投递区内；</w:t>
      </w:r>
    </w:p>
    <w:p w14:paraId="35215441">
      <w:pPr>
        <w:pStyle w:val="34"/>
        <w:pageBreakBefore w:val="0"/>
        <w:kinsoku/>
        <w:overflowPunct/>
        <w:topLinePunct w:val="0"/>
        <w:autoSpaceDE/>
        <w:autoSpaceDN/>
        <w:bidi w:val="0"/>
        <w:adjustRightInd w:val="0"/>
        <w:snapToGrid w:val="0"/>
        <w:spacing w:line="360" w:lineRule="auto"/>
        <w:ind w:left="369"/>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d.加密环完整套入对应颜色的信标塔；</w:t>
      </w:r>
    </w:p>
    <w:p w14:paraId="285A3C7D">
      <w:pPr>
        <w:pStyle w:val="34"/>
        <w:pageBreakBefore w:val="0"/>
        <w:kinsoku/>
        <w:overflowPunct/>
        <w:topLinePunct w:val="0"/>
        <w:autoSpaceDE/>
        <w:autoSpaceDN/>
        <w:bidi w:val="0"/>
        <w:adjustRightInd w:val="0"/>
        <w:snapToGrid w:val="0"/>
        <w:spacing w:line="360" w:lineRule="auto"/>
        <w:ind w:left="369"/>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同时满足a、b、c判定条件的加密环，10分/个；同时满足a、b、d判定条件的加密环，50分/个。</w:t>
      </w:r>
    </w:p>
    <w:p w14:paraId="39C85AC1">
      <w:pPr>
        <w:pStyle w:val="34"/>
        <w:pageBreakBefore w:val="0"/>
        <w:kinsoku/>
        <w:overflowPunct/>
        <w:topLinePunct w:val="0"/>
        <w:autoSpaceDE/>
        <w:autoSpaceDN/>
        <w:bidi w:val="0"/>
        <w:adjustRightInd w:val="0"/>
        <w:snapToGrid w:val="0"/>
        <w:spacing w:line="360" w:lineRule="auto"/>
        <w:ind w:left="369"/>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167505" cy="1656080"/>
            <wp:effectExtent l="0" t="0" r="4445" b="1270"/>
            <wp:docPr id="8929808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80831" name="图片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67505" cy="1656080"/>
                    </a:xfrm>
                    <a:prstGeom prst="rect">
                      <a:avLst/>
                    </a:prstGeom>
                  </pic:spPr>
                </pic:pic>
              </a:graphicData>
            </a:graphic>
          </wp:inline>
        </w:drawing>
      </w:r>
    </w:p>
    <w:p w14:paraId="6CA4024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图4-2 任务得分判定图</w:t>
      </w:r>
    </w:p>
    <w:p w14:paraId="22001E14">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计分说明：</w:t>
      </w:r>
    </w:p>
    <w:p w14:paraId="601644D9">
      <w:pPr>
        <w:pStyle w:val="34"/>
        <w:pageBreakBefore w:val="0"/>
        <w:kinsoku/>
        <w:overflowPunct/>
        <w:topLinePunct w:val="0"/>
        <w:autoSpaceDE/>
        <w:autoSpaceDN/>
        <w:bidi w:val="0"/>
        <w:adjustRightInd w:val="0"/>
        <w:snapToGrid w:val="0"/>
        <w:spacing w:line="360" w:lineRule="auto"/>
        <w:ind w:firstLine="420"/>
        <w:jc w:val="left"/>
        <w:textAlignment w:val="auto"/>
        <w:rPr>
          <w:rFonts w:hint="eastAsia" w:ascii="仿宋_GB2312" w:hAnsi="仿宋_GB2312" w:eastAsia="仿宋_GB2312" w:cs="仿宋_GB2312"/>
          <w:bCs/>
          <w:color w:val="auto"/>
          <w:sz w:val="32"/>
          <w:szCs w:val="32"/>
        </w:rPr>
      </w:pPr>
      <w:r>
        <w:rPr>
          <w:rFonts w:hint="eastAsia" w:ascii="仿宋_GB2312" w:hAnsi="仿宋_GB2312" w:eastAsia="仿宋_GB2312" w:cs="仿宋_GB2312"/>
          <w:bCs/>
          <w:color w:val="auto"/>
          <w:sz w:val="32"/>
          <w:szCs w:val="32"/>
        </w:rPr>
        <w:t>比赛最终得分以比赛结束后，得分道具的最终静止状态为准。比赛结束后，裁判计算任务得分。在比赛过程中，裁判会实时监控比赛进程，记录警告与违例的情况。</w:t>
      </w:r>
    </w:p>
    <w:p w14:paraId="6AEAF8D3">
      <w:pPr>
        <w:pStyle w:val="34"/>
        <w:pageBreakBefore w:val="0"/>
        <w:kinsoku/>
        <w:overflowPunct/>
        <w:topLinePunct w:val="0"/>
        <w:autoSpaceDE/>
        <w:autoSpaceDN/>
        <w:bidi w:val="0"/>
        <w:adjustRightInd w:val="0"/>
        <w:snapToGrid w:val="0"/>
        <w:spacing w:line="360" w:lineRule="auto"/>
        <w:ind w:firstLine="420"/>
        <w:jc w:val="left"/>
        <w:textAlignment w:val="auto"/>
        <w:rPr>
          <w:rFonts w:hint="eastAsia" w:ascii="仿宋_GB2312" w:hAnsi="仿宋_GB2312" w:eastAsia="仿宋_GB2312" w:cs="仿宋_GB2312"/>
          <w:bCs/>
          <w:color w:val="auto"/>
          <w:sz w:val="32"/>
          <w:szCs w:val="32"/>
        </w:rPr>
      </w:pPr>
      <w:r>
        <w:rPr>
          <w:rFonts w:hint="eastAsia" w:ascii="仿宋_GB2312" w:hAnsi="仿宋_GB2312" w:eastAsia="仿宋_GB2312" w:cs="仿宋_GB2312"/>
          <w:bCs/>
          <w:color w:val="auto"/>
          <w:sz w:val="32"/>
          <w:szCs w:val="32"/>
        </w:rPr>
        <w:t>单场比赛最高得分：50*4*4=800分。</w:t>
      </w:r>
    </w:p>
    <w:p w14:paraId="3B0E208A">
      <w:pPr>
        <w:keepNext w:val="0"/>
        <w:keepLines w:val="0"/>
        <w:pageBreakBefore w:val="0"/>
        <w:widowControl w:val="0"/>
        <w:numPr>
          <w:ilvl w:val="0"/>
          <w:numId w:val="0"/>
        </w:numPr>
        <w:kinsoku/>
        <w:wordWrap/>
        <w:overflowPunct/>
        <w:topLinePunct w:val="0"/>
        <w:autoSpaceDE/>
        <w:autoSpaceDN/>
        <w:bidi w:val="0"/>
        <w:adjustRightInd w:val="0"/>
        <w:snapToGrid w:val="0"/>
        <w:spacing w:before="260" w:after="260" w:line="360" w:lineRule="auto"/>
        <w:jc w:val="left"/>
        <w:textAlignment w:val="auto"/>
        <w:outlineLvl w:val="0"/>
        <w:rPr>
          <w:rFonts w:hint="eastAsia" w:ascii="仿宋_GB2312" w:hAnsi="仿宋_GB2312" w:eastAsia="仿宋_GB2312" w:cs="仿宋_GB2312"/>
          <w:b/>
          <w:color w:val="D83931"/>
          <w:sz w:val="40"/>
          <w:szCs w:val="40"/>
          <w:lang w:val="en-US" w:eastAsia="zh-CN"/>
        </w:rPr>
      </w:pPr>
      <w:bookmarkStart w:id="8" w:name="_Toc28970"/>
      <w:r>
        <w:rPr>
          <w:rFonts w:hint="eastAsia" w:ascii="仿宋_GB2312" w:hAnsi="仿宋_GB2312" w:eastAsia="仿宋_GB2312" w:cs="仿宋_GB2312"/>
          <w:b/>
          <w:color w:val="D83931"/>
          <w:sz w:val="40"/>
          <w:szCs w:val="40"/>
          <w:lang w:val="en-US" w:eastAsia="zh-CN"/>
        </w:rPr>
        <w:t>5.赛项基本信息</w:t>
      </w:r>
      <w:bookmarkEnd w:id="8"/>
    </w:p>
    <w:p w14:paraId="3D8B58C7">
      <w:pPr>
        <w:pStyle w:val="34"/>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赛项名称：</w:t>
      </w:r>
      <w:r>
        <w:rPr>
          <w:rFonts w:hint="eastAsia" w:ascii="仿宋_GB2312" w:hAnsi="仿宋_GB2312" w:eastAsia="仿宋_GB2312" w:cs="仿宋_GB2312"/>
          <w:sz w:val="32"/>
          <w:szCs w:val="32"/>
          <w:lang w:val="en-US" w:eastAsia="zh-CN"/>
        </w:rPr>
        <w:t>全芯征途高年级组</w:t>
      </w:r>
      <w:r>
        <w:rPr>
          <w:rFonts w:hint="eastAsia" w:ascii="仿宋_GB2312" w:hAnsi="仿宋_GB2312" w:eastAsia="仿宋_GB2312" w:cs="仿宋_GB2312"/>
          <w:sz w:val="32"/>
          <w:szCs w:val="32"/>
        </w:rPr>
        <w:t>；</w:t>
      </w:r>
    </w:p>
    <w:p w14:paraId="04C6B54E">
      <w:pPr>
        <w:pStyle w:val="34"/>
        <w:pageBreakBefore w:val="0"/>
        <w:kinsoku/>
        <w:overflowPunct/>
        <w:topLinePunct w:val="0"/>
        <w:autoSpaceDE/>
        <w:autoSpaceDN/>
        <w:bidi w:val="0"/>
        <w:adjustRightInd w:val="0"/>
        <w:snapToGrid w:val="0"/>
        <w:spacing w:line="360" w:lineRule="auto"/>
        <w:ind w:left="0" w:leftChars="0" w:firstLine="643"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rPr>
        <w:t>组别：</w:t>
      </w:r>
      <w:r>
        <w:rPr>
          <w:rFonts w:hint="eastAsia" w:ascii="仿宋_GB2312" w:hAnsi="仿宋_GB2312" w:eastAsia="仿宋_GB2312" w:cs="仿宋_GB2312"/>
          <w:sz w:val="32"/>
          <w:szCs w:val="32"/>
          <w:lang w:val="en-US" w:eastAsia="zh-CN"/>
        </w:rPr>
        <w:t>小学5-6年级</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初中、高中；</w:t>
      </w:r>
    </w:p>
    <w:p w14:paraId="56261E38">
      <w:pPr>
        <w:pStyle w:val="34"/>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参赛人数：</w:t>
      </w:r>
      <w:r>
        <w:rPr>
          <w:rFonts w:hint="eastAsia" w:ascii="仿宋_GB2312" w:hAnsi="仿宋_GB2312" w:eastAsia="仿宋_GB2312" w:cs="仿宋_GB2312"/>
          <w:sz w:val="32"/>
          <w:szCs w:val="32"/>
        </w:rPr>
        <w:t>1-2人；</w:t>
      </w:r>
    </w:p>
    <w:p w14:paraId="41F09DCF">
      <w:pPr>
        <w:pStyle w:val="34"/>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赛制：</w:t>
      </w:r>
      <w:r>
        <w:rPr>
          <w:rFonts w:hint="eastAsia" w:ascii="仿宋_GB2312" w:hAnsi="仿宋_GB2312" w:eastAsia="仿宋_GB2312" w:cs="仿宋_GB2312"/>
          <w:sz w:val="32"/>
          <w:szCs w:val="32"/>
        </w:rPr>
        <w:t>联盟赛制，每场比赛2个队伍；</w:t>
      </w:r>
    </w:p>
    <w:p w14:paraId="46E2E1D2">
      <w:pPr>
        <w:pStyle w:val="34"/>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场地大小：</w:t>
      </w:r>
      <w:r>
        <w:rPr>
          <w:rFonts w:hint="eastAsia" w:ascii="仿宋_GB2312" w:hAnsi="仿宋_GB2312" w:eastAsia="仿宋_GB2312" w:cs="仿宋_GB2312"/>
          <w:sz w:val="32"/>
          <w:szCs w:val="32"/>
        </w:rPr>
        <w:t>场地边框内尺寸为2335mm*2320mm，场地外边框尺寸为2365mm*2350mm；</w:t>
      </w:r>
    </w:p>
    <w:p w14:paraId="08FE040B">
      <w:pPr>
        <w:pStyle w:val="34"/>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rPr>
        <w:t>机器人尺寸、质量限制：</w:t>
      </w:r>
      <w:r>
        <w:rPr>
          <w:rFonts w:hint="eastAsia" w:ascii="仿宋_GB2312" w:hAnsi="仿宋_GB2312" w:eastAsia="仿宋_GB2312" w:cs="仿宋_GB2312"/>
          <w:sz w:val="32"/>
          <w:szCs w:val="32"/>
        </w:rPr>
        <w:t>全程最大长300mm×宽300mm×高300mm</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最重2.5kg</w:t>
      </w:r>
      <w:r>
        <w:rPr>
          <w:rFonts w:hint="eastAsia" w:ascii="仿宋_GB2312" w:hAnsi="仿宋_GB2312" w:eastAsia="仿宋_GB2312" w:cs="仿宋_GB2312"/>
          <w:sz w:val="32"/>
          <w:szCs w:val="32"/>
          <w:lang w:eastAsia="zh-CN"/>
        </w:rPr>
        <w:t>；</w:t>
      </w:r>
    </w:p>
    <w:p w14:paraId="246392F8">
      <w:pPr>
        <w:pStyle w:val="34"/>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比赛总时间：</w:t>
      </w:r>
      <w:r>
        <w:rPr>
          <w:rFonts w:hint="eastAsia" w:ascii="仿宋_GB2312" w:hAnsi="仿宋_GB2312" w:eastAsia="仿宋_GB2312" w:cs="仿宋_GB2312"/>
          <w:sz w:val="32"/>
          <w:szCs w:val="32"/>
        </w:rPr>
        <w:t>240s(4min),其中自动与手动阶段时长不限，由选手自行决定是否进行切换以及何时进行切换。确认切换后，裁判将暂定计时并进行自动控制阶段的计分，计分后，将会发出机器人转移的指令，机器人如已经完成进入手动任务区的任务，则无需再次将机器人放回手动任务区启动区内，参赛选手不得在切换阶段时进行改装；阶段切换完成，手动控制阶段开始。</w:t>
      </w:r>
    </w:p>
    <w:p w14:paraId="1CBA6FA7">
      <w:pPr>
        <w:pStyle w:val="34"/>
        <w:pageBreakBefore w:val="0"/>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即：自动控制阶段时长X秒（0＜X≤240秒），手动控制阶段时长为240-X秒。</w:t>
      </w:r>
    </w:p>
    <w:p w14:paraId="5620C045">
      <w:pPr>
        <w:keepNext w:val="0"/>
        <w:keepLines w:val="0"/>
        <w:pageBreakBefore w:val="0"/>
        <w:widowControl w:val="0"/>
        <w:numPr>
          <w:ilvl w:val="0"/>
          <w:numId w:val="0"/>
        </w:numPr>
        <w:kinsoku/>
        <w:wordWrap/>
        <w:overflowPunct/>
        <w:topLinePunct w:val="0"/>
        <w:autoSpaceDE/>
        <w:autoSpaceDN/>
        <w:bidi w:val="0"/>
        <w:adjustRightInd w:val="0"/>
        <w:snapToGrid w:val="0"/>
        <w:spacing w:before="260" w:after="260" w:line="360" w:lineRule="auto"/>
        <w:jc w:val="left"/>
        <w:textAlignment w:val="auto"/>
        <w:outlineLvl w:val="0"/>
        <w:rPr>
          <w:rFonts w:hint="eastAsia" w:ascii="仿宋_GB2312" w:hAnsi="仿宋_GB2312" w:eastAsia="仿宋_GB2312" w:cs="仿宋_GB2312"/>
          <w:b/>
          <w:color w:val="D83931"/>
          <w:sz w:val="40"/>
          <w:szCs w:val="40"/>
          <w:lang w:val="en-US" w:eastAsia="zh-CN"/>
        </w:rPr>
      </w:pPr>
      <w:bookmarkStart w:id="9" w:name="_Toc18597"/>
      <w:r>
        <w:rPr>
          <w:rFonts w:hint="eastAsia" w:ascii="仿宋_GB2312" w:hAnsi="仿宋_GB2312" w:eastAsia="仿宋_GB2312" w:cs="仿宋_GB2312"/>
          <w:b/>
          <w:color w:val="D83931"/>
          <w:sz w:val="40"/>
          <w:szCs w:val="40"/>
          <w:lang w:val="en-US" w:eastAsia="zh-CN"/>
        </w:rPr>
        <w:t>6.比赛内容</w:t>
      </w:r>
      <w:bookmarkEnd w:id="9"/>
    </w:p>
    <w:p w14:paraId="30F9087D">
      <w:pPr>
        <w:pStyle w:val="37"/>
        <w:keepNext/>
        <w:keepLines/>
        <w:pageBreakBefore w:val="0"/>
        <w:widowControl w:val="0"/>
        <w:numPr>
          <w:ilvl w:val="1"/>
          <w:numId w:val="12"/>
        </w:numPr>
        <w:kinsoku/>
        <w:wordWrap/>
        <w:overflowPunct/>
        <w:topLinePunct w:val="0"/>
        <w:autoSpaceDE/>
        <w:autoSpaceDN/>
        <w:bidi w:val="0"/>
        <w:adjustRightInd w:val="0"/>
        <w:snapToGrid w:val="0"/>
        <w:spacing w:after="140" w:line="360" w:lineRule="auto"/>
        <w:ind w:left="567" w:leftChars="0" w:hanging="567" w:firstLineChars="0"/>
        <w:textAlignment w:val="auto"/>
        <w:rPr>
          <w:rFonts w:hint="eastAsia" w:ascii="仿宋_GB2312" w:hAnsi="仿宋_GB2312" w:eastAsia="仿宋_GB2312" w:cs="仿宋_GB2312"/>
          <w:sz w:val="36"/>
          <w:szCs w:val="36"/>
        </w:rPr>
      </w:pPr>
      <w:bookmarkStart w:id="10" w:name="_Toc8738"/>
      <w:r>
        <w:rPr>
          <w:rFonts w:hint="eastAsia" w:ascii="仿宋_GB2312" w:hAnsi="仿宋_GB2312" w:eastAsia="仿宋_GB2312" w:cs="仿宋_GB2312"/>
          <w:sz w:val="36"/>
          <w:szCs w:val="36"/>
        </w:rPr>
        <w:t>场地说明</w:t>
      </w:r>
      <w:bookmarkEnd w:id="10"/>
    </w:p>
    <w:p w14:paraId="18035D65">
      <w:pPr>
        <w:pageBreakBefore w:val="0"/>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比赛场地由地图和边框组成，场地边框内尺寸为2335mm*2320mm，场地外边框尺寸为2365mm*2350mm。比赛地图分为自动任务区和手动任务区两个部分，包括启动区、中转区、手动装载区等区域。</w:t>
      </w:r>
    </w:p>
    <w:p w14:paraId="060BF183">
      <w:pPr>
        <w:pStyle w:val="34"/>
        <w:pageBreakBefore w:val="0"/>
        <w:kinsoku/>
        <w:wordWrap w:val="0"/>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drawing>
          <wp:inline distT="0" distB="0" distL="114300" distR="114300">
            <wp:extent cx="2898775" cy="2717165"/>
            <wp:effectExtent l="0" t="0" r="15875" b="698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pic:cNvPicPr>
                  </pic:nvPicPr>
                  <pic:blipFill>
                    <a:blip r:embed="rId23" cstate="print">
                      <a:extLst>
                        <a:ext uri="{28A0092B-C50C-407E-A947-70E740481C1C}">
                          <a14:useLocalDpi xmlns:a14="http://schemas.microsoft.com/office/drawing/2010/main" val="0"/>
                        </a:ext>
                      </a:extLst>
                    </a:blip>
                    <a:srcRect l="21558" t="11328" r="18002" b="15459"/>
                    <a:stretch>
                      <a:fillRect/>
                    </a:stretch>
                  </pic:blipFill>
                  <pic:spPr>
                    <a:xfrm>
                      <a:off x="0" y="0"/>
                      <a:ext cx="2898775" cy="2717165"/>
                    </a:xfrm>
                    <a:prstGeom prst="rect">
                      <a:avLst/>
                    </a:prstGeom>
                    <a:ln>
                      <a:noFill/>
                    </a:ln>
                  </pic:spPr>
                </pic:pic>
              </a:graphicData>
            </a:graphic>
          </wp:inline>
        </w:drawing>
      </w:r>
    </w:p>
    <w:p w14:paraId="1F1E66D8">
      <w:pPr>
        <w:pStyle w:val="34"/>
        <w:pageBreakBefore w:val="0"/>
        <w:kinsoku/>
        <w:wordWrap w:val="0"/>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kern w:val="2"/>
          <w:sz w:val="28"/>
          <w:szCs w:val="28"/>
          <w:lang w:val="en-US" w:eastAsia="zh-CN" w:bidi="ar-SA"/>
          <w14:textFill>
            <w14:solidFill>
              <w14:schemeClr w14:val="tx1"/>
            </w14:solidFill>
          </w14:textFill>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6.1</w:t>
      </w:r>
      <w:r>
        <w:rPr>
          <w:rFonts w:hint="eastAsia" w:ascii="仿宋_GB2312" w:hAnsi="仿宋_GB2312" w:eastAsia="仿宋_GB2312" w:cs="仿宋_GB2312"/>
          <w:bCs/>
          <w:color w:val="auto"/>
          <w:sz w:val="28"/>
          <w:szCs w:val="28"/>
        </w:rPr>
        <w:t>-1 场地区域划分示意图</w:t>
      </w:r>
    </w:p>
    <w:p w14:paraId="2FF8C997">
      <w:pPr>
        <w:pStyle w:val="67"/>
        <w:pageBreakBefore w:val="0"/>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p>
    <w:p w14:paraId="25CB16B8">
      <w:pPr>
        <w:pStyle w:val="67"/>
        <w:pageBreakBefore w:val="0"/>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以下为主要区域说明：</w:t>
      </w:r>
    </w:p>
    <w:p w14:paraId="490BC192">
      <w:pPr>
        <w:pStyle w:val="6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启动区</w:t>
      </w:r>
    </w:p>
    <w:p w14:paraId="4EF93A8F">
      <w:pPr>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自动任务区内各有红蓝启动区1个，为边长300mm的正方形。</w:t>
      </w:r>
    </w:p>
    <w:p w14:paraId="5AEC421D">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drawing>
          <wp:inline distT="180340" distB="180340" distL="114300" distR="114300">
            <wp:extent cx="3387090" cy="1645920"/>
            <wp:effectExtent l="0" t="0" r="3810" b="11430"/>
            <wp:docPr id="89" name="Picture 6"/>
            <wp:cNvGraphicFramePr/>
            <a:graphic xmlns:a="http://schemas.openxmlformats.org/drawingml/2006/main">
              <a:graphicData uri="http://schemas.openxmlformats.org/drawingml/2006/picture">
                <pic:pic xmlns:pic="http://schemas.openxmlformats.org/drawingml/2006/picture">
                  <pic:nvPicPr>
                    <pic:cNvPr id="89" name="Picture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87090" cy="1645920"/>
                    </a:xfrm>
                    <a:prstGeom prst="rect">
                      <a:avLst/>
                    </a:prstGeom>
                  </pic:spPr>
                </pic:pic>
              </a:graphicData>
            </a:graphic>
          </wp:inline>
        </w:drawing>
      </w:r>
    </w:p>
    <w:p w14:paraId="45012CFD">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6.1</w:t>
      </w:r>
      <w:r>
        <w:rPr>
          <w:rFonts w:hint="eastAsia" w:ascii="仿宋_GB2312" w:hAnsi="仿宋_GB2312" w:eastAsia="仿宋_GB2312" w:cs="仿宋_GB2312"/>
          <w:bCs/>
          <w:color w:val="auto"/>
          <w:sz w:val="28"/>
          <w:szCs w:val="28"/>
        </w:rPr>
        <w:t>-2 自动任务区启动区示意图</w:t>
      </w:r>
    </w:p>
    <w:p w14:paraId="403D41E3">
      <w:pPr>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bookmarkStart w:id="11" w:name="_Hlk155444965"/>
      <w:r>
        <w:rPr>
          <w:rFonts w:hint="eastAsia" w:ascii="仿宋_GB2312" w:hAnsi="仿宋_GB2312" w:eastAsia="仿宋_GB2312" w:cs="仿宋_GB2312"/>
          <w:color w:val="000000" w:themeColor="text1"/>
          <w:sz w:val="32"/>
          <w:szCs w:val="32"/>
          <w:lang w:bidi="ar"/>
          <w14:textFill>
            <w14:solidFill>
              <w14:schemeClr w14:val="tx1"/>
            </w14:solidFill>
          </w14:textFill>
        </w:rPr>
        <w:t>手动任务区内各有红蓝启动区1个</w:t>
      </w:r>
      <w:bookmarkEnd w:id="11"/>
      <w:r>
        <w:rPr>
          <w:rFonts w:hint="eastAsia" w:ascii="仿宋_GB2312" w:hAnsi="仿宋_GB2312" w:eastAsia="仿宋_GB2312" w:cs="仿宋_GB2312"/>
          <w:color w:val="000000" w:themeColor="text1"/>
          <w:sz w:val="32"/>
          <w:szCs w:val="32"/>
          <w:lang w:bidi="ar"/>
          <w14:textFill>
            <w14:solidFill>
              <w14:schemeClr w14:val="tx1"/>
            </w14:solidFill>
          </w14:textFill>
        </w:rPr>
        <w:t>，为边长300mm的正方形。</w:t>
      </w:r>
    </w:p>
    <w:p w14:paraId="58C1368B">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bookmarkStart w:id="12" w:name="_Hlk185508522"/>
      <w:r>
        <w:rPr>
          <w:rFonts w:hint="eastAsia" w:ascii="仿宋_GB2312" w:hAnsi="仿宋_GB2312" w:eastAsia="仿宋_GB2312" w:cs="仿宋_GB2312"/>
          <w:color w:val="000000" w:themeColor="text1"/>
          <w:sz w:val="32"/>
          <w:szCs w:val="32"/>
          <w:lang w:bidi="ar"/>
          <w14:textFill>
            <w14:solidFill>
              <w14:schemeClr w14:val="tx1"/>
            </w14:solidFill>
          </w14:textFill>
        </w:rPr>
        <w:drawing>
          <wp:inline distT="180340" distB="180340" distL="114300" distR="114300">
            <wp:extent cx="3349625" cy="1657350"/>
            <wp:effectExtent l="0" t="0" r="3175" b="0"/>
            <wp:docPr id="90" name="Picture 6"/>
            <wp:cNvGraphicFramePr/>
            <a:graphic xmlns:a="http://schemas.openxmlformats.org/drawingml/2006/main">
              <a:graphicData uri="http://schemas.openxmlformats.org/drawingml/2006/picture">
                <pic:pic xmlns:pic="http://schemas.openxmlformats.org/drawingml/2006/picture">
                  <pic:nvPicPr>
                    <pic:cNvPr id="90" name="Picture 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49625" cy="1657350"/>
                    </a:xfrm>
                    <a:prstGeom prst="rect">
                      <a:avLst/>
                    </a:prstGeom>
                  </pic:spPr>
                </pic:pic>
              </a:graphicData>
            </a:graphic>
          </wp:inline>
        </w:drawing>
      </w:r>
    </w:p>
    <w:p w14:paraId="23685102">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32"/>
          <w:szCs w:val="32"/>
        </w:rPr>
      </w:pPr>
      <w:r>
        <w:rPr>
          <w:rFonts w:hint="eastAsia" w:ascii="仿宋_GB2312" w:hAnsi="仿宋_GB2312" w:eastAsia="仿宋_GB2312" w:cs="仿宋_GB2312"/>
          <w:bCs/>
          <w:color w:val="auto"/>
          <w:sz w:val="32"/>
          <w:szCs w:val="32"/>
        </w:rPr>
        <w:t>图</w:t>
      </w:r>
      <w:r>
        <w:rPr>
          <w:rFonts w:hint="eastAsia" w:ascii="仿宋_GB2312" w:hAnsi="仿宋_GB2312" w:eastAsia="仿宋_GB2312" w:cs="仿宋_GB2312"/>
          <w:bCs/>
          <w:color w:val="auto"/>
          <w:sz w:val="32"/>
          <w:szCs w:val="32"/>
          <w:lang w:val="en-US" w:eastAsia="zh-CN"/>
        </w:rPr>
        <w:t>6.1</w:t>
      </w:r>
      <w:r>
        <w:rPr>
          <w:rFonts w:hint="eastAsia" w:ascii="仿宋_GB2312" w:hAnsi="仿宋_GB2312" w:eastAsia="仿宋_GB2312" w:cs="仿宋_GB2312"/>
          <w:bCs/>
          <w:color w:val="auto"/>
          <w:sz w:val="32"/>
          <w:szCs w:val="32"/>
        </w:rPr>
        <w:t>-3手动任务区启动区示意图</w:t>
      </w:r>
    </w:p>
    <w:bookmarkEnd w:id="12"/>
    <w:p w14:paraId="3B9636FB">
      <w:pPr>
        <w:pStyle w:val="6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资源存放区</w:t>
      </w:r>
    </w:p>
    <w:p w14:paraId="33D15FBE">
      <w:pPr>
        <w:pageBreakBefore w:val="0"/>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资源存放区为图示区域，资源存放区分为圆柱存放区、黄方块存放区以及红蓝方块存放区。每个资源存放区内均有3个边长为95mm的正方形资源存放点。</w:t>
      </w:r>
    </w:p>
    <w:p w14:paraId="4DC9B835">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资源存放区尺寸：304mm*95mm</w:t>
      </w:r>
    </w:p>
    <w:p w14:paraId="3DEA0836">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资源存放点尺寸：95mm*95mm</w:t>
      </w:r>
    </w:p>
    <w:p w14:paraId="18941215">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数量：红蓝方各3个</w:t>
      </w:r>
    </w:p>
    <w:p w14:paraId="7DCE0921">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位置：如下图所示</w:t>
      </w:r>
    </w:p>
    <w:p w14:paraId="4CF28213">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drawing>
          <wp:inline distT="0" distB="0" distL="114300" distR="114300">
            <wp:extent cx="4319905" cy="2320290"/>
            <wp:effectExtent l="0" t="0" r="4445" b="3810"/>
            <wp:docPr id="1501814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14396" name="图片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0000" cy="2320468"/>
                    </a:xfrm>
                    <a:prstGeom prst="rect">
                      <a:avLst/>
                    </a:prstGeom>
                  </pic:spPr>
                </pic:pic>
              </a:graphicData>
            </a:graphic>
          </wp:inline>
        </w:drawing>
      </w:r>
    </w:p>
    <w:p w14:paraId="05DEA42D">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6.1</w:t>
      </w:r>
      <w:r>
        <w:rPr>
          <w:rFonts w:hint="eastAsia" w:ascii="仿宋_GB2312" w:hAnsi="仿宋_GB2312" w:eastAsia="仿宋_GB2312" w:cs="仿宋_GB2312"/>
          <w:bCs/>
          <w:sz w:val="28"/>
          <w:szCs w:val="28"/>
        </w:rPr>
        <w:t>-4资源存放区示意图</w:t>
      </w:r>
    </w:p>
    <w:p w14:paraId="4D0BA425">
      <w:pPr>
        <w:pStyle w:val="6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资源交换区</w:t>
      </w:r>
    </w:p>
    <w:p w14:paraId="36959D9D">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资源交换区为图示区域</w:t>
      </w:r>
    </w:p>
    <w:p w14:paraId="24CC7231">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尺寸：95mm*95mm</w:t>
      </w:r>
    </w:p>
    <w:p w14:paraId="524599B1">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位置：位于自动任务区中间靠近手动任务区方向</w:t>
      </w:r>
    </w:p>
    <w:p w14:paraId="734F961F">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数量：全场共1个</w:t>
      </w:r>
    </w:p>
    <w:p w14:paraId="4A7FDDD3">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319905" cy="2315210"/>
            <wp:effectExtent l="0" t="0" r="4445" b="9525"/>
            <wp:docPr id="4577265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726569"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20000" cy="2315075"/>
                    </a:xfrm>
                    <a:prstGeom prst="rect">
                      <a:avLst/>
                    </a:prstGeom>
                  </pic:spPr>
                </pic:pic>
              </a:graphicData>
            </a:graphic>
          </wp:inline>
        </w:drawing>
      </w:r>
    </w:p>
    <w:p w14:paraId="71912C1B">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6.1</w:t>
      </w:r>
      <w:r>
        <w:rPr>
          <w:rFonts w:hint="eastAsia" w:ascii="仿宋_GB2312" w:hAnsi="仿宋_GB2312" w:eastAsia="仿宋_GB2312" w:cs="仿宋_GB2312"/>
          <w:bCs/>
          <w:color w:val="auto"/>
          <w:sz w:val="28"/>
          <w:szCs w:val="28"/>
        </w:rPr>
        <w:t>-5资源交换区示意图</w:t>
      </w:r>
    </w:p>
    <w:p w14:paraId="1BBAF1E3">
      <w:pPr>
        <w:pStyle w:val="6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手动装载区</w:t>
      </w:r>
    </w:p>
    <w:p w14:paraId="3F1775B1">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手动装载区为图示绿色区域。</w:t>
      </w:r>
    </w:p>
    <w:p w14:paraId="020AEEEE">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尺寸：</w:t>
      </w:r>
      <w:bookmarkStart w:id="13" w:name="_Hlk155445001"/>
      <w:r>
        <w:rPr>
          <w:rFonts w:hint="eastAsia" w:ascii="仿宋_GB2312" w:hAnsi="仿宋_GB2312" w:eastAsia="仿宋_GB2312" w:cs="仿宋_GB2312"/>
          <w:color w:val="000000" w:themeColor="text1"/>
          <w:sz w:val="32"/>
          <w:szCs w:val="32"/>
          <w:lang w:bidi="ar"/>
          <w14:textFill>
            <w14:solidFill>
              <w14:schemeClr w14:val="tx1"/>
            </w14:solidFill>
          </w14:textFill>
        </w:rPr>
        <w:t>长625mm*宽325mm</w:t>
      </w:r>
    </w:p>
    <w:bookmarkEnd w:id="13"/>
    <w:p w14:paraId="787CDBF3">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位置：手动任务区一侧</w:t>
      </w:r>
    </w:p>
    <w:p w14:paraId="75C01F41">
      <w:pPr>
        <w:pageBreakBefore w:val="0"/>
        <w:kinsoku/>
        <w:overflowPunct/>
        <w:topLinePunct w:val="0"/>
        <w:autoSpaceDE/>
        <w:autoSpaceDN/>
        <w:bidi w:val="0"/>
        <w:adjustRightInd w:val="0"/>
        <w:snapToGrid w:val="0"/>
        <w:spacing w:line="360" w:lineRule="auto"/>
        <w:ind w:firstLine="420"/>
        <w:textAlignment w:val="auto"/>
        <w:rPr>
          <w:rFonts w:hint="eastAsia" w:ascii="仿宋_GB2312" w:hAnsi="仿宋_GB2312" w:eastAsia="仿宋_GB2312" w:cs="仿宋_GB2312"/>
          <w:color w:val="000000" w:themeColor="text1"/>
          <w:sz w:val="32"/>
          <w:szCs w:val="32"/>
          <w:lang w:bidi="ar"/>
          <w14:textFill>
            <w14:solidFill>
              <w14:schemeClr w14:val="tx1"/>
            </w14:solidFill>
          </w14:textFill>
        </w:rPr>
      </w:pPr>
      <w:r>
        <w:rPr>
          <w:rFonts w:hint="eastAsia" w:ascii="仿宋_GB2312" w:hAnsi="仿宋_GB2312" w:eastAsia="仿宋_GB2312" w:cs="仿宋_GB2312"/>
          <w:color w:val="000000" w:themeColor="text1"/>
          <w:sz w:val="32"/>
          <w:szCs w:val="32"/>
          <w:lang w:bidi="ar"/>
          <w14:textFill>
            <w14:solidFill>
              <w14:schemeClr w14:val="tx1"/>
            </w14:solidFill>
          </w14:textFill>
        </w:rPr>
        <w:t>数量：1个</w:t>
      </w:r>
    </w:p>
    <w:p w14:paraId="55BD53AB">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319905" cy="2272030"/>
            <wp:effectExtent l="0" t="0" r="4445" b="0"/>
            <wp:docPr id="14966556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55683" name="图片 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20000" cy="2272037"/>
                    </a:xfrm>
                    <a:prstGeom prst="rect">
                      <a:avLst/>
                    </a:prstGeom>
                  </pic:spPr>
                </pic:pic>
              </a:graphicData>
            </a:graphic>
          </wp:inline>
        </w:drawing>
      </w:r>
    </w:p>
    <w:p w14:paraId="7D8CB94F">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6.1</w:t>
      </w:r>
      <w:r>
        <w:rPr>
          <w:rFonts w:hint="eastAsia" w:ascii="仿宋_GB2312" w:hAnsi="仿宋_GB2312" w:eastAsia="仿宋_GB2312" w:cs="仿宋_GB2312"/>
          <w:bCs/>
          <w:color w:val="auto"/>
          <w:sz w:val="28"/>
          <w:szCs w:val="28"/>
        </w:rPr>
        <w:t>-6手动装载区示意图</w:t>
      </w:r>
    </w:p>
    <w:p w14:paraId="32DB7CB6">
      <w:pPr>
        <w:pStyle w:val="37"/>
        <w:pageBreakBefore w:val="0"/>
        <w:numPr>
          <w:ilvl w:val="1"/>
          <w:numId w:val="12"/>
        </w:numPr>
        <w:kinsoku/>
        <w:overflowPunct/>
        <w:topLinePunct w:val="0"/>
        <w:autoSpaceDE/>
        <w:autoSpaceDN/>
        <w:bidi w:val="0"/>
        <w:adjustRightInd w:val="0"/>
        <w:snapToGrid w:val="0"/>
        <w:spacing w:line="360" w:lineRule="auto"/>
        <w:ind w:left="567" w:leftChars="0" w:hanging="567" w:firstLineChars="0"/>
        <w:textAlignment w:val="auto"/>
        <w:rPr>
          <w:rFonts w:hint="eastAsia" w:ascii="仿宋_GB2312" w:hAnsi="仿宋_GB2312" w:eastAsia="仿宋_GB2312" w:cs="仿宋_GB2312"/>
          <w:sz w:val="36"/>
          <w:szCs w:val="36"/>
        </w:rPr>
      </w:pPr>
      <w:bookmarkStart w:id="14" w:name="_Toc23119"/>
      <w:r>
        <w:rPr>
          <w:rFonts w:hint="eastAsia" w:ascii="仿宋_GB2312" w:hAnsi="仿宋_GB2312" w:eastAsia="仿宋_GB2312" w:cs="仿宋_GB2312"/>
          <w:sz w:val="36"/>
          <w:szCs w:val="36"/>
        </w:rPr>
        <w:t>道具清单</w:t>
      </w:r>
      <w:bookmarkEnd w:id="14"/>
    </w:p>
    <w:p w14:paraId="38575D68">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场地道具包括得分道具及任务道具，以下为道具介绍：</w:t>
      </w:r>
    </w:p>
    <w:p w14:paraId="5277694E">
      <w:pPr>
        <w:pStyle w:val="6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得分道具</w:t>
      </w:r>
    </w:p>
    <w:p w14:paraId="4187EEE6">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b w:val="0"/>
          <w:bCs/>
          <w:color w:val="auto"/>
          <w:kern w:val="2"/>
          <w:sz w:val="32"/>
          <w:szCs w:val="32"/>
          <w:lang w:val="en-US" w:eastAsia="zh-CN" w:bidi="ar-SA"/>
        </w:rPr>
        <w:t>数据块</w:t>
      </w:r>
    </w:p>
    <w:p w14:paraId="16E4D0C3">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边长70mm带倒三角的红色、蓝色或黄色正方体，以下简称红色/蓝色/黄色方块</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1313C57F">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道具尺寸：</w:t>
      </w:r>
      <w:r>
        <w:rPr>
          <w:rFonts w:hint="eastAsia" w:ascii="仿宋_GB2312" w:hAnsi="仿宋_GB2312" w:eastAsia="仿宋_GB2312" w:cs="仿宋_GB2312"/>
          <w:color w:val="000000" w:themeColor="text1"/>
          <w:sz w:val="32"/>
          <w:szCs w:val="32"/>
          <w14:textFill>
            <w14:solidFill>
              <w14:schemeClr w14:val="tx1"/>
            </w14:solidFill>
          </w14:textFill>
        </w:rPr>
        <w:t>最大边长为70mm（±3mm）</w:t>
      </w:r>
    </w:p>
    <w:p w14:paraId="5FBE786F">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颜色与数量：</w:t>
      </w:r>
      <w:r>
        <w:rPr>
          <w:rFonts w:hint="eastAsia" w:ascii="仿宋_GB2312" w:hAnsi="仿宋_GB2312" w:eastAsia="仿宋_GB2312" w:cs="仿宋_GB2312"/>
          <w:color w:val="000000" w:themeColor="text1"/>
          <w:sz w:val="32"/>
          <w:szCs w:val="32"/>
          <w14:textFill>
            <w14:solidFill>
              <w14:schemeClr w14:val="tx1"/>
            </w14:solidFill>
          </w14:textFill>
        </w:rPr>
        <w:t>黄色12个，红色3个，蓝色3个</w:t>
      </w:r>
    </w:p>
    <w:p w14:paraId="443ADC03">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材质：</w:t>
      </w:r>
      <w:r>
        <w:rPr>
          <w:rFonts w:hint="eastAsia" w:ascii="仿宋_GB2312" w:hAnsi="仿宋_GB2312" w:eastAsia="仿宋_GB2312" w:cs="仿宋_GB2312"/>
          <w:color w:val="000000" w:themeColor="text1"/>
          <w:sz w:val="32"/>
          <w:szCs w:val="32"/>
          <w14:textFill>
            <w14:solidFill>
              <w14:schemeClr w14:val="tx1"/>
            </w14:solidFill>
          </w14:textFill>
        </w:rPr>
        <w:t>EVA</w:t>
      </w:r>
    </w:p>
    <w:p w14:paraId="6E3E744A">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drawing>
          <wp:inline distT="0" distB="0" distL="114300" distR="114300">
            <wp:extent cx="3284855" cy="826135"/>
            <wp:effectExtent l="0" t="0" r="0" b="0"/>
            <wp:docPr id="6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84855" cy="826135"/>
                    </a:xfrm>
                    <a:prstGeom prst="rect">
                      <a:avLst/>
                    </a:prstGeom>
                  </pic:spPr>
                </pic:pic>
              </a:graphicData>
            </a:graphic>
          </wp:inline>
        </w:drawing>
      </w:r>
    </w:p>
    <w:p w14:paraId="3F90EE14">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-1数据块示意图</w:t>
      </w:r>
    </w:p>
    <w:p w14:paraId="3E80FF28">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b w:val="0"/>
          <w:bCs/>
          <w:color w:val="auto"/>
          <w:kern w:val="2"/>
          <w:sz w:val="32"/>
          <w:szCs w:val="32"/>
          <w:lang w:val="en-US" w:eastAsia="zh-CN" w:bidi="ar-SA"/>
        </w:rPr>
        <w:t>资源柱</w:t>
      </w:r>
      <w:r>
        <w:rPr>
          <w:rFonts w:hint="eastAsia" w:ascii="仿宋_GB2312" w:hAnsi="仿宋_GB2312" w:eastAsia="仿宋_GB2312" w:cs="仿宋_GB2312"/>
          <w:b/>
          <w:color w:val="auto"/>
          <w:kern w:val="2"/>
          <w:sz w:val="32"/>
          <w:szCs w:val="32"/>
          <w:lang w:val="en-US" w:eastAsia="zh-CN" w:bidi="ar-SA"/>
        </w:rPr>
        <w:t xml:space="preserve"> </w:t>
      </w:r>
    </w:p>
    <w:p w14:paraId="13FE9072">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直径70mm，高度200mm的黄色圆柱体，以下简称黄色圆柱</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12D84FF9">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道具尺寸：</w:t>
      </w:r>
      <w:r>
        <w:rPr>
          <w:rFonts w:hint="eastAsia" w:ascii="仿宋_GB2312" w:hAnsi="仿宋_GB2312" w:eastAsia="仿宋_GB2312" w:cs="仿宋_GB2312"/>
          <w:color w:val="000000" w:themeColor="text1"/>
          <w:sz w:val="32"/>
          <w:szCs w:val="32"/>
          <w14:textFill>
            <w14:solidFill>
              <w14:schemeClr w14:val="tx1"/>
            </w14:solidFill>
          </w14:textFill>
        </w:rPr>
        <w:t>直径70mm，高度200mm</w:t>
      </w:r>
    </w:p>
    <w:p w14:paraId="5904ECAD">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颜色与数量：</w:t>
      </w:r>
      <w:r>
        <w:rPr>
          <w:rFonts w:hint="eastAsia" w:ascii="仿宋_GB2312" w:hAnsi="仿宋_GB2312" w:eastAsia="仿宋_GB2312" w:cs="仿宋_GB2312"/>
          <w:color w:val="000000" w:themeColor="text1"/>
          <w:sz w:val="32"/>
          <w:szCs w:val="32"/>
          <w14:textFill>
            <w14:solidFill>
              <w14:schemeClr w14:val="tx1"/>
            </w14:solidFill>
          </w14:textFill>
        </w:rPr>
        <w:t>黄色2个</w:t>
      </w:r>
    </w:p>
    <w:p w14:paraId="5332E565">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材质：</w:t>
      </w:r>
      <w:r>
        <w:rPr>
          <w:rFonts w:hint="eastAsia" w:ascii="仿宋_GB2312" w:hAnsi="仿宋_GB2312" w:eastAsia="仿宋_GB2312" w:cs="仿宋_GB2312"/>
          <w:color w:val="000000" w:themeColor="text1"/>
          <w:sz w:val="32"/>
          <w:szCs w:val="32"/>
          <w14:textFill>
            <w14:solidFill>
              <w14:schemeClr w14:val="tx1"/>
            </w14:solidFill>
          </w14:textFill>
        </w:rPr>
        <w:t>EVA</w:t>
      </w:r>
    </w:p>
    <w:p w14:paraId="38F5BC20">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drawing>
          <wp:inline distT="0" distB="0" distL="114300" distR="114300">
            <wp:extent cx="701675" cy="764540"/>
            <wp:effectExtent l="0" t="0" r="3175" b="16510"/>
            <wp:docPr id="18222480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48004" name="图片 1"/>
                    <pic:cNvPicPr>
                      <a:picLocks noChangeAspect="1"/>
                    </pic:cNvPicPr>
                  </pic:nvPicPr>
                  <pic:blipFill>
                    <a:blip r:embed="rId30" cstate="print">
                      <a:extLst>
                        <a:ext uri="{28A0092B-C50C-407E-A947-70E740481C1C}">
                          <a14:useLocalDpi xmlns:a14="http://schemas.microsoft.com/office/drawing/2010/main" val="0"/>
                        </a:ext>
                      </a:extLst>
                    </a:blip>
                    <a:srcRect l="20527" t="7547" r="23060" b="1949"/>
                    <a:stretch>
                      <a:fillRect/>
                    </a:stretch>
                  </pic:blipFill>
                  <pic:spPr>
                    <a:xfrm rot="10800000" flipV="1">
                      <a:off x="0" y="0"/>
                      <a:ext cx="701675" cy="764540"/>
                    </a:xfrm>
                    <a:prstGeom prst="rect">
                      <a:avLst/>
                    </a:prstGeom>
                    <a:ln>
                      <a:noFill/>
                    </a:ln>
                  </pic:spPr>
                </pic:pic>
              </a:graphicData>
            </a:graphic>
          </wp:inline>
        </w:drawing>
      </w:r>
    </w:p>
    <w:p w14:paraId="7E63AE20">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-2资源柱示意图</w:t>
      </w:r>
    </w:p>
    <w:p w14:paraId="793DC00D">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b w:val="0"/>
          <w:bCs/>
          <w:color w:val="auto"/>
          <w:kern w:val="2"/>
          <w:sz w:val="32"/>
          <w:szCs w:val="32"/>
          <w:lang w:val="en-US" w:eastAsia="zh-CN" w:bidi="ar-SA"/>
        </w:rPr>
        <w:t xml:space="preserve">资源环 </w:t>
      </w:r>
    </w:p>
    <w:p w14:paraId="50FD9B3F">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外径为70mm（±2mm），内径为40mm的红色/蓝色圆环，以下简称红色圆环/蓝色圆环</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1D538668">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道具尺寸：</w:t>
      </w:r>
      <w:r>
        <w:rPr>
          <w:rFonts w:hint="eastAsia" w:ascii="仿宋_GB2312" w:hAnsi="仿宋_GB2312" w:eastAsia="仿宋_GB2312" w:cs="仿宋_GB2312"/>
          <w:color w:val="000000" w:themeColor="text1"/>
          <w:sz w:val="32"/>
          <w:szCs w:val="32"/>
          <w14:textFill>
            <w14:solidFill>
              <w14:schemeClr w14:val="tx1"/>
            </w14:solidFill>
          </w14:textFill>
        </w:rPr>
        <w:t>外径为70mm，内径为40mm</w:t>
      </w:r>
    </w:p>
    <w:p w14:paraId="6976607D">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数量：</w:t>
      </w:r>
      <w:r>
        <w:rPr>
          <w:rFonts w:hint="eastAsia" w:ascii="仿宋_GB2312" w:hAnsi="仿宋_GB2312" w:eastAsia="仿宋_GB2312" w:cs="仿宋_GB2312"/>
          <w:color w:val="000000" w:themeColor="text1"/>
          <w:sz w:val="32"/>
          <w:szCs w:val="32"/>
          <w14:textFill>
            <w14:solidFill>
              <w14:schemeClr w14:val="tx1"/>
            </w14:solidFill>
          </w14:textFill>
        </w:rPr>
        <w:t>红色3个，蓝色3个</w:t>
      </w:r>
    </w:p>
    <w:p w14:paraId="52710BFB">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t>材质：</w:t>
      </w:r>
      <w:r>
        <w:rPr>
          <w:rFonts w:hint="eastAsia" w:ascii="仿宋_GB2312" w:hAnsi="仿宋_GB2312" w:eastAsia="仿宋_GB2312" w:cs="仿宋_GB2312"/>
          <w:b w:val="0"/>
          <w:bCs/>
          <w:sz w:val="32"/>
          <w:szCs w:val="32"/>
        </w:rPr>
        <w:t>EVA</w:t>
      </w:r>
    </w:p>
    <w:p w14:paraId="2B0EC512">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
          <w:sz w:val="32"/>
          <w:szCs w:val="32"/>
          <w:lang w:val="zh-CN"/>
        </w:rPr>
      </w:pPr>
      <w:r>
        <w:rPr>
          <w:rFonts w:hint="eastAsia" w:ascii="仿宋_GB2312" w:hAnsi="仿宋_GB2312" w:eastAsia="仿宋_GB2312" w:cs="仿宋_GB2312"/>
          <w:b/>
          <w:sz w:val="32"/>
          <w:szCs w:val="32"/>
          <w:lang w:val="zh-CN"/>
        </w:rPr>
        <w:drawing>
          <wp:inline distT="0" distB="0" distL="114300" distR="114300">
            <wp:extent cx="1541145" cy="678815"/>
            <wp:effectExtent l="0" t="0" r="1905" b="6350"/>
            <wp:docPr id="1911635853" name="图片 191163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635853" name="图片 1911635853"/>
                    <pic:cNvPicPr>
                      <a:picLocks noChangeAspect="1"/>
                    </pic:cNvPicPr>
                  </pic:nvPicPr>
                  <pic:blipFill>
                    <a:blip r:embed="rId31" cstate="print">
                      <a:extLst>
                        <a:ext uri="{28A0092B-C50C-407E-A947-70E740481C1C}">
                          <a14:useLocalDpi xmlns:a14="http://schemas.microsoft.com/office/drawing/2010/main" val="0"/>
                        </a:ext>
                      </a:extLst>
                    </a:blip>
                    <a:srcRect l="6109" t="16897" r="35719" b="19987"/>
                    <a:stretch>
                      <a:fillRect/>
                    </a:stretch>
                  </pic:blipFill>
                  <pic:spPr>
                    <a:xfrm>
                      <a:off x="0" y="0"/>
                      <a:ext cx="1541145" cy="678815"/>
                    </a:xfrm>
                    <a:prstGeom prst="rect">
                      <a:avLst/>
                    </a:prstGeom>
                    <a:ln>
                      <a:noFill/>
                    </a:ln>
                  </pic:spPr>
                </pic:pic>
              </a:graphicData>
            </a:graphic>
          </wp:inline>
        </w:drawing>
      </w:r>
    </w:p>
    <w:p w14:paraId="17F6FC67">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-3资源环示意图</w:t>
      </w:r>
    </w:p>
    <w:p w14:paraId="1573C71E">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b w:val="0"/>
          <w:bCs/>
          <w:color w:val="auto"/>
          <w:kern w:val="2"/>
          <w:sz w:val="32"/>
          <w:szCs w:val="32"/>
          <w:lang w:val="en-US" w:eastAsia="zh-CN" w:bidi="ar-SA"/>
        </w:rPr>
        <w:t>中央指针装置</w:t>
      </w:r>
    </w:p>
    <w:p w14:paraId="15AA7DD4">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由蓝色金属零件搭建而成的异形结构，含圆柱底座和指针</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48A9DCC5">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bCs/>
          <w:color w:val="000000" w:themeColor="text1"/>
          <w:sz w:val="32"/>
          <w:szCs w:val="32"/>
          <w14:textFill>
            <w14:solidFill>
              <w14:schemeClr w14:val="tx1"/>
            </w14:solidFill>
          </w14:textFill>
        </w:rPr>
        <w:t>底座尺寸直径72mm，高68mm，</w:t>
      </w:r>
      <w:r>
        <w:rPr>
          <w:rFonts w:hint="eastAsia" w:ascii="仿宋_GB2312" w:hAnsi="仿宋_GB2312" w:eastAsia="仿宋_GB2312" w:cs="仿宋_GB2312"/>
          <w:bCs/>
          <w:sz w:val="32"/>
          <w:szCs w:val="32"/>
        </w:rPr>
        <w:t>指针长度从旋转中心到另一端的长度是174mm，单孔梁全长188mm</w:t>
      </w:r>
      <w:r>
        <w:rPr>
          <w:rFonts w:hint="eastAsia" w:ascii="仿宋_GB2312" w:hAnsi="仿宋_GB2312" w:eastAsia="仿宋_GB2312" w:cs="仿宋_GB2312"/>
          <w:sz w:val="32"/>
          <w:szCs w:val="32"/>
        </w:rPr>
        <w:t xml:space="preserve"> ；</w:t>
      </w:r>
      <w:r>
        <w:rPr>
          <w:rFonts w:hint="eastAsia" w:ascii="仿宋_GB2312" w:hAnsi="仿宋_GB2312" w:eastAsia="仿宋_GB2312" w:cs="仿宋_GB2312"/>
          <w:color w:val="000000" w:themeColor="text1"/>
          <w:sz w:val="32"/>
          <w:szCs w:val="32"/>
          <w14:textFill>
            <w14:solidFill>
              <w14:schemeClr w14:val="tx1"/>
            </w14:solidFill>
          </w14:textFill>
        </w:rPr>
        <w:t>红蓝方各1个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28F00947">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蓝色金属零件</w:t>
      </w:r>
    </w:p>
    <w:p w14:paraId="740A7539">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drawing>
          <wp:inline distT="0" distB="0" distL="114300" distR="114300">
            <wp:extent cx="5278120" cy="1584325"/>
            <wp:effectExtent l="0" t="0" r="17780" b="15875"/>
            <wp:docPr id="19569712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71244" name="图片 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278120" cy="1584325"/>
                    </a:xfrm>
                    <a:prstGeom prst="rect">
                      <a:avLst/>
                    </a:prstGeom>
                  </pic:spPr>
                </pic:pic>
              </a:graphicData>
            </a:graphic>
          </wp:inline>
        </w:drawing>
      </w:r>
    </w:p>
    <w:p w14:paraId="5E5E8FB1">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-4中央指针装置示意图</w:t>
      </w:r>
    </w:p>
    <w:p w14:paraId="0C3FDA78">
      <w:pPr>
        <w:pStyle w:val="34"/>
        <w:pageBreakBefore w:val="0"/>
        <w:kinsoku/>
        <w:overflowPunct/>
        <w:topLinePunct w:val="0"/>
        <w:autoSpaceDE/>
        <w:autoSpaceDN/>
        <w:bidi w:val="0"/>
        <w:adjustRightInd w:val="0"/>
        <w:snapToGrid w:val="0"/>
        <w:spacing w:after="156" w:afterLines="50" w:line="360" w:lineRule="auto"/>
        <w:ind w:firstLine="0"/>
        <w:jc w:val="both"/>
        <w:textAlignment w:val="auto"/>
        <w:rPr>
          <w:rFonts w:hint="eastAsia" w:ascii="仿宋_GB2312" w:hAnsi="仿宋_GB2312" w:eastAsia="仿宋_GB2312" w:cs="仿宋_GB2312"/>
          <w:bCs/>
          <w:color w:val="auto"/>
          <w:sz w:val="32"/>
          <w:szCs w:val="32"/>
        </w:rPr>
      </w:pPr>
    </w:p>
    <w:p w14:paraId="6A630242">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3599815" cy="1929130"/>
            <wp:effectExtent l="0" t="0" r="635" b="0"/>
            <wp:docPr id="12303927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92720" name="图片 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599815" cy="1929130"/>
                    </a:xfrm>
                    <a:prstGeom prst="rect">
                      <a:avLst/>
                    </a:prstGeom>
                  </pic:spPr>
                </pic:pic>
              </a:graphicData>
            </a:graphic>
          </wp:inline>
        </w:drawing>
      </w:r>
    </w:p>
    <w:p w14:paraId="07B3BD59">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-5中央指针装置位置示意图</w:t>
      </w:r>
    </w:p>
    <w:p w14:paraId="52C060F2">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color w:val="auto"/>
          <w:kern w:val="2"/>
          <w:sz w:val="32"/>
          <w:szCs w:val="32"/>
          <w:lang w:val="en-US" w:eastAsia="zh-CN" w:bidi="ar-SA"/>
        </w:rPr>
      </w:pPr>
    </w:p>
    <w:p w14:paraId="7FE8E603">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color w:val="auto"/>
          <w:kern w:val="2"/>
          <w:sz w:val="32"/>
          <w:szCs w:val="32"/>
          <w:lang w:val="en-US" w:eastAsia="zh-CN" w:bidi="ar-SA"/>
        </w:rPr>
      </w:pPr>
    </w:p>
    <w:p w14:paraId="48AEC0AE">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b w:val="0"/>
          <w:bCs/>
          <w:color w:val="auto"/>
          <w:kern w:val="2"/>
          <w:sz w:val="32"/>
          <w:szCs w:val="32"/>
          <w:lang w:val="en-US" w:eastAsia="zh-CN" w:bidi="ar-SA"/>
        </w:rPr>
        <w:t xml:space="preserve">战队自制标记物 </w:t>
      </w:r>
    </w:p>
    <w:p w14:paraId="386E3F37">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为立体道具，不限制材质，推荐使用激光切割机或3D打印机制作而成。高度小于等于100mm，在地面垂直投影小于等于直径60mm的圆形区域</w:t>
      </w:r>
      <w:r>
        <w:rPr>
          <w:rFonts w:hint="eastAsia" w:ascii="仿宋_GB2312" w:hAnsi="仿宋_GB2312" w:eastAsia="仿宋_GB2312" w:cs="仿宋_GB2312"/>
          <w:b/>
          <w:color w:val="000000" w:themeColor="text1"/>
          <w:sz w:val="32"/>
          <w:szCs w:val="32"/>
          <w14:textFill>
            <w14:solidFill>
              <w14:schemeClr w14:val="tx1"/>
            </w14:solidFill>
          </w14:textFill>
        </w:rPr>
        <w:t>。</w:t>
      </w:r>
    </w:p>
    <w:p w14:paraId="787C00F6">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道具尺寸：</w:t>
      </w:r>
      <w:r>
        <w:rPr>
          <w:rFonts w:hint="eastAsia" w:ascii="仿宋_GB2312" w:hAnsi="仿宋_GB2312" w:eastAsia="仿宋_GB2312" w:cs="仿宋_GB2312"/>
          <w:color w:val="000000" w:themeColor="text1"/>
          <w:sz w:val="32"/>
          <w:szCs w:val="32"/>
          <w14:textFill>
            <w14:solidFill>
              <w14:schemeClr w14:val="tx1"/>
            </w14:solidFill>
          </w14:textFill>
        </w:rPr>
        <w:t>高度≤100mm，直径≤60mm</w:t>
      </w:r>
    </w:p>
    <w:p w14:paraId="483DD15B">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数量：</w:t>
      </w:r>
      <w:r>
        <w:rPr>
          <w:rFonts w:hint="eastAsia" w:ascii="仿宋_GB2312" w:hAnsi="仿宋_GB2312" w:eastAsia="仿宋_GB2312" w:cs="仿宋_GB2312"/>
          <w:color w:val="000000" w:themeColor="text1"/>
          <w:sz w:val="32"/>
          <w:szCs w:val="32"/>
          <w14:textFill>
            <w14:solidFill>
              <w14:schemeClr w14:val="tx1"/>
            </w14:solidFill>
          </w14:textFill>
        </w:rPr>
        <w:t>红方1个、蓝方1个</w:t>
      </w:r>
    </w:p>
    <w:p w14:paraId="069570CB">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color w:val="000000" w:themeColor="text1"/>
          <w:sz w:val="32"/>
          <w:szCs w:val="32"/>
          <w14:textFill>
            <w14:solidFill>
              <w14:schemeClr w14:val="tx1"/>
            </w14:solidFill>
          </w14:textFill>
        </w:rPr>
        <w:t>颜色与材质：</w:t>
      </w:r>
      <w:r>
        <w:rPr>
          <w:rFonts w:hint="eastAsia" w:ascii="仿宋_GB2312" w:hAnsi="仿宋_GB2312" w:eastAsia="仿宋_GB2312" w:cs="仿宋_GB2312"/>
          <w:color w:val="000000" w:themeColor="text1"/>
          <w:sz w:val="32"/>
          <w:szCs w:val="32"/>
          <w14:textFill>
            <w14:solidFill>
              <w14:schemeClr w14:val="tx1"/>
            </w14:solidFill>
          </w14:textFill>
        </w:rPr>
        <w:t>不限制颜色与材质</w:t>
      </w:r>
    </w:p>
    <w:p w14:paraId="76A816E7">
      <w:pPr>
        <w:pStyle w:val="67"/>
        <w:keepNext w:val="0"/>
        <w:keepLines w:val="0"/>
        <w:pageBreakBefore w:val="0"/>
        <w:widowControl w:val="0"/>
        <w:kinsoku/>
        <w:wordWrap/>
        <w:overflowPunct/>
        <w:topLinePunct w:val="0"/>
        <w:autoSpaceDE/>
        <w:autoSpaceDN/>
        <w:bidi w:val="0"/>
        <w:adjustRightInd w:val="0"/>
        <w:snapToGrid w:val="0"/>
        <w:spacing w:before="157" w:beforeLines="50"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任务道具（自动任务区）</w:t>
      </w:r>
    </w:p>
    <w:p w14:paraId="29136B6E">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 xml:space="preserve">储物仓 </w:t>
      </w:r>
    </w:p>
    <w:p w14:paraId="690D2104">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黑色密度板配合螺柱搭建的立体平台，用于存放资源块</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1B72CB72">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312*104*40mm（长、宽、高），红蓝方各1个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3061F760">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黑色密度板、蓝色金属件</w:t>
      </w:r>
    </w:p>
    <w:p w14:paraId="4876851E">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p>
    <w:p w14:paraId="2EEE5ACA">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drawing>
          <wp:inline distT="0" distB="0" distL="114300" distR="114300">
            <wp:extent cx="2258060" cy="1524635"/>
            <wp:effectExtent l="0" t="0" r="889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flipH="1">
                      <a:off x="0" y="0"/>
                      <a:ext cx="2258060" cy="1524635"/>
                    </a:xfrm>
                    <a:prstGeom prst="rect">
                      <a:avLst/>
                    </a:prstGeom>
                  </pic:spPr>
                </pic:pic>
              </a:graphicData>
            </a:graphic>
          </wp:inline>
        </w:drawing>
      </w:r>
    </w:p>
    <w:p w14:paraId="5170513B">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-6储物仓示意图</w:t>
      </w:r>
    </w:p>
    <w:p w14:paraId="6AAC9D2E">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p>
    <w:p w14:paraId="7D33E355">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sz w:val="32"/>
          <w:szCs w:val="32"/>
        </w:rPr>
      </w:pPr>
    </w:p>
    <w:p w14:paraId="158177F6">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
          <w:sz w:val="32"/>
          <w:szCs w:val="32"/>
        </w:rPr>
        <w:t>摆放位置：</w:t>
      </w:r>
      <w:r>
        <w:rPr>
          <w:rFonts w:hint="eastAsia" w:ascii="仿宋_GB2312" w:hAnsi="仿宋_GB2312" w:eastAsia="仿宋_GB2312" w:cs="仿宋_GB2312"/>
          <w:color w:val="000000" w:themeColor="text1"/>
          <w:sz w:val="32"/>
          <w:szCs w:val="32"/>
          <w14:textFill>
            <w14:solidFill>
              <w14:schemeClr w14:val="tx1"/>
            </w14:solidFill>
          </w14:textFill>
        </w:rPr>
        <w:t>置于自动任务区和手动任务区交界处中央边框上</w:t>
      </w:r>
    </w:p>
    <w:p w14:paraId="5C0EB868">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drawing>
          <wp:inline distT="0" distB="0" distL="114300" distR="114300">
            <wp:extent cx="3599815" cy="1926590"/>
            <wp:effectExtent l="0" t="0" r="635" b="0"/>
            <wp:docPr id="6408359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35901" name="图片 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99815" cy="1926590"/>
                    </a:xfrm>
                    <a:prstGeom prst="rect">
                      <a:avLst/>
                    </a:prstGeom>
                  </pic:spPr>
                </pic:pic>
              </a:graphicData>
            </a:graphic>
          </wp:inline>
        </w:drawing>
      </w:r>
    </w:p>
    <w:p w14:paraId="2D1C7E3A">
      <w:pPr>
        <w:pageBreakBefore w:val="0"/>
        <w:kinsoku/>
        <w:overflowPunct/>
        <w:topLinePunct w:val="0"/>
        <w:autoSpaceDE/>
        <w:autoSpaceDN/>
        <w:bidi w:val="0"/>
        <w:adjustRightInd w:val="0"/>
        <w:snapToGrid w:val="0"/>
        <w:spacing w:line="360" w:lineRule="auto"/>
        <w:ind w:firstLine="560" w:firstLineChars="200"/>
        <w:jc w:val="center"/>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-7储物仓位置示意图</w:t>
      </w:r>
    </w:p>
    <w:p w14:paraId="23783C13">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资源转换器</w:t>
      </w:r>
    </w:p>
    <w:p w14:paraId="38F8F0D4">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黑色密度板配合螺柱搭建的立体平台，用于存放资源块</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2283D8A9">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312*104*40mm（长、宽、高），1个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010EC3A8">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黑色密度板、蓝色金属件</w:t>
      </w:r>
    </w:p>
    <w:p w14:paraId="12984C29">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drawing>
          <wp:inline distT="0" distB="0" distL="114300" distR="114300">
            <wp:extent cx="2308225" cy="1924050"/>
            <wp:effectExtent l="0" t="0" r="0" b="0"/>
            <wp:docPr id="3668768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76805" name="图片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08225" cy="1924050"/>
                    </a:xfrm>
                    <a:prstGeom prst="rect">
                      <a:avLst/>
                    </a:prstGeom>
                  </pic:spPr>
                </pic:pic>
              </a:graphicData>
            </a:graphic>
          </wp:inline>
        </w:drawing>
      </w:r>
    </w:p>
    <w:p w14:paraId="4AF4E886">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-8资源转换器示意图</w:t>
      </w:r>
    </w:p>
    <w:p w14:paraId="6793AC0B">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p>
    <w:p w14:paraId="19BCF5D3">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p>
    <w:p w14:paraId="69EFA7E7">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p>
    <w:p w14:paraId="2CCAAD08">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p>
    <w:p w14:paraId="2DD4B79E">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摆放位置：</w:t>
      </w:r>
      <w:r>
        <w:rPr>
          <w:rFonts w:hint="eastAsia" w:ascii="仿宋_GB2312" w:hAnsi="仿宋_GB2312" w:eastAsia="仿宋_GB2312" w:cs="仿宋_GB2312"/>
          <w:color w:val="000000" w:themeColor="text1"/>
          <w:sz w:val="32"/>
          <w:szCs w:val="32"/>
          <w14:textFill>
            <w14:solidFill>
              <w14:schemeClr w14:val="tx1"/>
            </w14:solidFill>
          </w14:textFill>
        </w:rPr>
        <w:t>位于自动任务区中心位置</w:t>
      </w:r>
    </w:p>
    <w:p w14:paraId="6D0030E5">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drawing>
          <wp:inline distT="0" distB="0" distL="114300" distR="114300">
            <wp:extent cx="3383280" cy="1812925"/>
            <wp:effectExtent l="0" t="0" r="7620" b="0"/>
            <wp:docPr id="1544911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11619" name="图片 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83280" cy="1812925"/>
                    </a:xfrm>
                    <a:prstGeom prst="rect">
                      <a:avLst/>
                    </a:prstGeom>
                  </pic:spPr>
                </pic:pic>
              </a:graphicData>
            </a:graphic>
          </wp:inline>
        </w:drawing>
      </w:r>
    </w:p>
    <w:p w14:paraId="311B8F03">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-9资源转换器位置示意图</w:t>
      </w:r>
    </w:p>
    <w:p w14:paraId="169ED9F9">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挂环装置</w:t>
      </w:r>
    </w:p>
    <w:p w14:paraId="6A677342">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由蓝色金属件搭建而成的立体装置，用于存放资源环</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15274BEE">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110*104*135mm（长、宽、高），红蓝方各1个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36399F1E">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蓝色金属零件</w:t>
      </w:r>
    </w:p>
    <w:p w14:paraId="6C13E2E3">
      <w:pPr>
        <w:pageBreakBefore w:val="0"/>
        <w:kinsoku/>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p>
    <w:p w14:paraId="3287375E">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drawing>
          <wp:inline distT="0" distB="0" distL="114300" distR="114300">
            <wp:extent cx="2082800" cy="2232025"/>
            <wp:effectExtent l="0" t="0" r="0" b="0"/>
            <wp:docPr id="11852926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2689" name="图片 3"/>
                    <pic:cNvPicPr>
                      <a:picLocks noChangeAspect="1" noChangeArrowheads="1"/>
                    </pic:cNvPicPr>
                  </pic:nvPicPr>
                  <pic:blipFill>
                    <a:blip r:embed="rId38" cstate="print">
                      <a:extLst>
                        <a:ext uri="{28A0092B-C50C-407E-A947-70E740481C1C}">
                          <a14:useLocalDpi xmlns:a14="http://schemas.microsoft.com/office/drawing/2010/main" val="0"/>
                        </a:ext>
                      </a:extLst>
                    </a:blip>
                    <a:srcRect l="19138" t="11606" r="19019" b="8840"/>
                    <a:stretch>
                      <a:fillRect/>
                    </a:stretch>
                  </pic:blipFill>
                  <pic:spPr>
                    <a:xfrm>
                      <a:off x="0" y="0"/>
                      <a:ext cx="2082800" cy="2232025"/>
                    </a:xfrm>
                    <a:prstGeom prst="rect">
                      <a:avLst/>
                    </a:prstGeom>
                    <a:noFill/>
                    <a:ln>
                      <a:noFill/>
                    </a:ln>
                  </pic:spPr>
                </pic:pic>
              </a:graphicData>
            </a:graphic>
          </wp:inline>
        </w:drawing>
      </w:r>
    </w:p>
    <w:p w14:paraId="1602116D">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-10挂环装置示意图</w:t>
      </w:r>
    </w:p>
    <w:p w14:paraId="5E1671C8">
      <w:pPr>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sz w:val="32"/>
          <w:szCs w:val="32"/>
        </w:rPr>
      </w:pPr>
    </w:p>
    <w:p w14:paraId="3FC2FF40">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摆放位置：</w:t>
      </w:r>
      <w:r>
        <w:rPr>
          <w:rFonts w:hint="eastAsia" w:ascii="仿宋_GB2312" w:hAnsi="仿宋_GB2312" w:eastAsia="仿宋_GB2312" w:cs="仿宋_GB2312"/>
          <w:color w:val="000000" w:themeColor="text1"/>
          <w:sz w:val="32"/>
          <w:szCs w:val="32"/>
          <w14:textFill>
            <w14:solidFill>
              <w14:schemeClr w14:val="tx1"/>
            </w14:solidFill>
          </w14:textFill>
        </w:rPr>
        <w:t>位于自动任务区边缘的左下角及右下角</w:t>
      </w:r>
    </w:p>
    <w:p w14:paraId="6EC96CC2">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drawing>
          <wp:inline distT="0" distB="0" distL="114300" distR="114300">
            <wp:extent cx="3599815" cy="1931035"/>
            <wp:effectExtent l="0" t="0" r="635" b="0"/>
            <wp:docPr id="2121859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85968" name="图片 8"/>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00000" cy="1930799"/>
                    </a:xfrm>
                    <a:prstGeom prst="rect">
                      <a:avLst/>
                    </a:prstGeom>
                  </pic:spPr>
                </pic:pic>
              </a:graphicData>
            </a:graphic>
          </wp:inline>
        </w:drawing>
      </w:r>
    </w:p>
    <w:p w14:paraId="536E5F98">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-11资源转换器位置示意图</w:t>
      </w:r>
    </w:p>
    <w:p w14:paraId="2C2D4FF7">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 xml:space="preserve">标签立牌装置 </w:t>
      </w:r>
    </w:p>
    <w:p w14:paraId="61617F1C">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由蓝色金属件配合奥松板搭建而成的立体装置，用于放置April Tag标签</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 xml:space="preserve"> </w:t>
      </w:r>
    </w:p>
    <w:p w14:paraId="745640D7">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110*112.5*135 mm（长、宽、高），红蓝方各1个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2533A7DD">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蓝色金属零件、奥松板</w:t>
      </w:r>
    </w:p>
    <w:p w14:paraId="5C869FAE">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drawing>
          <wp:inline distT="0" distB="0" distL="114300" distR="114300">
            <wp:extent cx="2360930" cy="2573020"/>
            <wp:effectExtent l="0" t="0" r="1270" b="0"/>
            <wp:docPr id="171414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14728" name="图片 1"/>
                    <pic:cNvPicPr>
                      <a:picLocks noChangeAspect="1"/>
                    </pic:cNvPicPr>
                  </pic:nvPicPr>
                  <pic:blipFill>
                    <a:blip r:embed="rId40" cstate="print">
                      <a:extLst>
                        <a:ext uri="{28A0092B-C50C-407E-A947-70E740481C1C}">
                          <a14:useLocalDpi xmlns:a14="http://schemas.microsoft.com/office/drawing/2010/main" val="0"/>
                        </a:ext>
                      </a:extLst>
                    </a:blip>
                    <a:srcRect l="11774" r="11774"/>
                    <a:stretch>
                      <a:fillRect/>
                    </a:stretch>
                  </pic:blipFill>
                  <pic:spPr>
                    <a:xfrm>
                      <a:off x="0" y="0"/>
                      <a:ext cx="2360930" cy="2573020"/>
                    </a:xfrm>
                    <a:prstGeom prst="rect">
                      <a:avLst/>
                    </a:prstGeom>
                    <a:ln>
                      <a:noFill/>
                    </a:ln>
                  </pic:spPr>
                </pic:pic>
              </a:graphicData>
            </a:graphic>
          </wp:inline>
        </w:drawing>
      </w:r>
    </w:p>
    <w:p w14:paraId="2A802479">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-12</w:t>
      </w:r>
      <w:r>
        <w:rPr>
          <w:rFonts w:hint="eastAsia" w:ascii="仿宋_GB2312" w:hAnsi="仿宋_GB2312" w:eastAsia="仿宋_GB2312" w:cs="仿宋_GB2312"/>
          <w:sz w:val="28"/>
          <w:szCs w:val="28"/>
        </w:rPr>
        <w:t>标签立牌装置</w:t>
      </w:r>
      <w:r>
        <w:rPr>
          <w:rFonts w:hint="eastAsia" w:ascii="仿宋_GB2312" w:hAnsi="仿宋_GB2312" w:eastAsia="仿宋_GB2312" w:cs="仿宋_GB2312"/>
          <w:bCs/>
          <w:color w:val="auto"/>
          <w:sz w:val="28"/>
          <w:szCs w:val="28"/>
        </w:rPr>
        <w:t>示意图</w:t>
      </w:r>
    </w:p>
    <w:p w14:paraId="7CAF5956">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b/>
          <w:sz w:val="32"/>
          <w:szCs w:val="32"/>
        </w:rPr>
      </w:pPr>
    </w:p>
    <w:p w14:paraId="5700F885">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摆放位置：</w:t>
      </w:r>
      <w:r>
        <w:rPr>
          <w:rFonts w:hint="eastAsia" w:ascii="仿宋_GB2312" w:hAnsi="仿宋_GB2312" w:eastAsia="仿宋_GB2312" w:cs="仿宋_GB2312"/>
          <w:color w:val="000000" w:themeColor="text1"/>
          <w:sz w:val="32"/>
          <w:szCs w:val="32"/>
          <w14:textFill>
            <w14:solidFill>
              <w14:schemeClr w14:val="tx1"/>
            </w14:solidFill>
          </w14:textFill>
        </w:rPr>
        <w:t>位于自动任务区边缘的左上角及右上角</w:t>
      </w:r>
    </w:p>
    <w:p w14:paraId="1FF2BF66">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drawing>
          <wp:inline distT="0" distB="0" distL="114300" distR="114300">
            <wp:extent cx="3275965" cy="1757680"/>
            <wp:effectExtent l="0" t="0" r="635" b="0"/>
            <wp:docPr id="1208785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85955" name="图片 1"/>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75965" cy="1757680"/>
                    </a:xfrm>
                    <a:prstGeom prst="rect">
                      <a:avLst/>
                    </a:prstGeom>
                  </pic:spPr>
                </pic:pic>
              </a:graphicData>
            </a:graphic>
          </wp:inline>
        </w:drawing>
      </w:r>
    </w:p>
    <w:p w14:paraId="388A2EFD">
      <w:pPr>
        <w:pageBreakBefore w:val="0"/>
        <w:kinsoku/>
        <w:overflowPunct/>
        <w:topLinePunct w:val="0"/>
        <w:autoSpaceDE/>
        <w:autoSpaceDN/>
        <w:bidi w:val="0"/>
        <w:adjustRightInd w:val="0"/>
        <w:snapToGrid w:val="0"/>
        <w:spacing w:line="360" w:lineRule="auto"/>
        <w:ind w:firstLine="560" w:firstLineChars="200"/>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-13资源转换器位置示意图</w:t>
      </w:r>
    </w:p>
    <w:p w14:paraId="38401479">
      <w:pPr>
        <w:pageBreakBefore w:val="0"/>
        <w:kinsoku/>
        <w:overflowPunct/>
        <w:topLinePunct w:val="0"/>
        <w:autoSpaceDE/>
        <w:autoSpaceDN/>
        <w:bidi w:val="0"/>
        <w:adjustRightInd w:val="0"/>
        <w:snapToGrid w:val="0"/>
        <w:spacing w:line="360" w:lineRule="auto"/>
        <w:ind w:firstLine="640" w:firstLineChars="200"/>
        <w:jc w:val="center"/>
        <w:textAlignment w:val="auto"/>
        <w:rPr>
          <w:rFonts w:hint="eastAsia" w:ascii="仿宋_GB2312" w:hAnsi="仿宋_GB2312" w:eastAsia="仿宋_GB2312" w:cs="仿宋_GB2312"/>
          <w:bCs/>
          <w:sz w:val="32"/>
          <w:szCs w:val="32"/>
        </w:rPr>
      </w:pPr>
    </w:p>
    <w:p w14:paraId="71CCC38C">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道具名称：</w:t>
      </w:r>
      <w:r>
        <w:rPr>
          <w:rFonts w:hint="eastAsia" w:ascii="仿宋_GB2312" w:hAnsi="仿宋_GB2312" w:eastAsia="仿宋_GB2312" w:cs="仿宋_GB2312"/>
          <w:color w:val="000000" w:themeColor="text1"/>
          <w:kern w:val="2"/>
          <w:sz w:val="32"/>
          <w:szCs w:val="32"/>
          <w:lang w:val="en-US" w:eastAsia="zh-CN" w:bidi="ar-SA"/>
          <w14:textFill>
            <w14:solidFill>
              <w14:schemeClr w14:val="tx1"/>
            </w14:solidFill>
          </w14:textFill>
        </w:rPr>
        <w:t>信标塔</w:t>
      </w:r>
    </w:p>
    <w:p w14:paraId="5776BBE2">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EVA材质的凸台柱体</w:t>
      </w:r>
    </w:p>
    <w:p w14:paraId="58C31293">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底部直径为70mm，柱子本体直径为29mm，整体高度为100mm，红蓝方各1个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37F63614">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红/蓝色EVA</w:t>
      </w:r>
    </w:p>
    <w:p w14:paraId="2AE3AA9A">
      <w:pPr>
        <w:pageBreakBefore w:val="0"/>
        <w:kinsoku/>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p>
    <w:p w14:paraId="0E4054C0">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sz w:val="32"/>
          <w:szCs w:val="32"/>
        </w:rPr>
      </w:pPr>
      <w:r>
        <w:rPr>
          <w:rFonts w:hint="eastAsia" w:ascii="仿宋_GB2312" w:hAnsi="仿宋_GB2312" w:eastAsia="仿宋_GB2312" w:cs="仿宋_GB2312"/>
          <w:b/>
          <w:sz w:val="32"/>
          <w:szCs w:val="32"/>
        </w:rPr>
        <w:drawing>
          <wp:inline distT="0" distB="0" distL="114300" distR="114300">
            <wp:extent cx="4608195" cy="1722120"/>
            <wp:effectExtent l="0" t="0" r="1905" b="0"/>
            <wp:docPr id="14389315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31542" name="图片 1"/>
                    <pic:cNvPicPr>
                      <a:picLocks noChangeAspect="1"/>
                    </pic:cNvPicPr>
                  </pic:nvPicPr>
                  <pic:blipFill>
                    <a:blip r:embed="rId42">
                      <a:extLst>
                        <a:ext uri="{28A0092B-C50C-407E-A947-70E740481C1C}">
                          <a14:useLocalDpi xmlns:a14="http://schemas.microsoft.com/office/drawing/2010/main" val="0"/>
                        </a:ext>
                      </a:extLst>
                    </a:blip>
                    <a:srcRect t="19602" b="12920"/>
                    <a:stretch>
                      <a:fillRect/>
                    </a:stretch>
                  </pic:blipFill>
                  <pic:spPr>
                    <a:xfrm>
                      <a:off x="0" y="0"/>
                      <a:ext cx="4608195" cy="1722120"/>
                    </a:xfrm>
                    <a:prstGeom prst="rect">
                      <a:avLst/>
                    </a:prstGeom>
                    <a:ln>
                      <a:noFill/>
                    </a:ln>
                  </pic:spPr>
                </pic:pic>
              </a:graphicData>
            </a:graphic>
          </wp:inline>
        </w:drawing>
      </w:r>
    </w:p>
    <w:p w14:paraId="5DC980A7">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-14信标塔示意图</w:t>
      </w:r>
    </w:p>
    <w:p w14:paraId="122DF6F2">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sz w:val="32"/>
          <w:szCs w:val="32"/>
        </w:rPr>
      </w:pPr>
    </w:p>
    <w:p w14:paraId="6E8C0B46">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3599815" cy="1933575"/>
            <wp:effectExtent l="0" t="0" r="635" b="9525"/>
            <wp:docPr id="674916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91680" name="图片 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99815" cy="1933575"/>
                    </a:xfrm>
                    <a:prstGeom prst="rect">
                      <a:avLst/>
                    </a:prstGeom>
                  </pic:spPr>
                </pic:pic>
              </a:graphicData>
            </a:graphic>
          </wp:inline>
        </w:drawing>
      </w:r>
    </w:p>
    <w:p w14:paraId="58B2D95D">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-15信标塔位置示意图</w:t>
      </w:r>
    </w:p>
    <w:p w14:paraId="568FC34B">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道具名称：</w:t>
      </w:r>
      <w:r>
        <w:rPr>
          <w:rFonts w:hint="eastAsia" w:ascii="仿宋_GB2312" w:hAnsi="仿宋_GB2312" w:eastAsia="仿宋_GB2312" w:cs="仿宋_GB2312"/>
          <w:color w:val="auto"/>
          <w:sz w:val="32"/>
          <w:szCs w:val="32"/>
        </w:rPr>
        <w:t>滑车装置</w:t>
      </w:r>
    </w:p>
    <w:p w14:paraId="58744CD5">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由蓝色金属件配合黑色密度板搭建而成的立体装置，用于分隔自动任务区和手动任务区</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4EBF27F6">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lang w:eastAsia="zh-CN"/>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200*53.5*70 mm （长、宽、高），共2个</w:t>
      </w:r>
      <w:r>
        <w:rPr>
          <w:rFonts w:hint="eastAsia" w:ascii="仿宋_GB2312" w:hAnsi="仿宋_GB2312" w:eastAsia="仿宋_GB2312" w:cs="仿宋_GB2312"/>
          <w:color w:val="000000" w:themeColor="text1"/>
          <w:sz w:val="32"/>
          <w:szCs w:val="32"/>
          <w:lang w:eastAsia="zh-CN"/>
          <w14:textFill>
            <w14:solidFill>
              <w14:schemeClr w14:val="tx1"/>
            </w14:solidFill>
          </w14:textFill>
        </w:rPr>
        <w:t>。</w:t>
      </w:r>
    </w:p>
    <w:p w14:paraId="314F66E7">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蓝色金属零件、黑色密度板</w:t>
      </w:r>
    </w:p>
    <w:p w14:paraId="4A87DAE0">
      <w:pPr>
        <w:pageBreakBefore w:val="0"/>
        <w:kinsoku/>
        <w:overflowPunct/>
        <w:topLinePunct w:val="0"/>
        <w:autoSpaceDE/>
        <w:autoSpaceDN/>
        <w:bidi w:val="0"/>
        <w:adjustRightInd w:val="0"/>
        <w:snapToGrid w:val="0"/>
        <w:spacing w:line="360" w:lineRule="auto"/>
        <w:ind w:firstLine="560" w:firstLineChars="200"/>
        <w:jc w:val="center"/>
        <w:textAlignment w:val="auto"/>
        <w:rPr>
          <w:rFonts w:hint="eastAsia" w:ascii="仿宋_GB2312" w:hAnsi="仿宋_GB2312" w:eastAsia="仿宋_GB2312" w:cs="仿宋_GB2312"/>
          <w:color w:val="000000" w:themeColor="text1"/>
          <w:sz w:val="28"/>
          <w:szCs w:val="28"/>
          <w14:textFill>
            <w14:solidFill>
              <w14:schemeClr w14:val="tx1"/>
            </w14:solidFill>
          </w14:textFill>
        </w:rPr>
      </w:pPr>
      <w:r>
        <w:rPr>
          <w:rFonts w:hint="eastAsia" w:ascii="仿宋_GB2312" w:hAnsi="仿宋_GB2312" w:eastAsia="仿宋_GB2312" w:cs="仿宋_GB2312"/>
          <w:sz w:val="28"/>
          <w:szCs w:val="28"/>
        </w:rPr>
        <w:drawing>
          <wp:inline distT="0" distB="0" distL="114300" distR="114300">
            <wp:extent cx="4104005" cy="1149350"/>
            <wp:effectExtent l="0" t="0" r="0" b="0"/>
            <wp:docPr id="13126726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672641" name="图片 1"/>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04005" cy="1149350"/>
                    </a:xfrm>
                    <a:prstGeom prst="rect">
                      <a:avLst/>
                    </a:prstGeom>
                  </pic:spPr>
                </pic:pic>
              </a:graphicData>
            </a:graphic>
          </wp:inline>
        </w:drawing>
      </w:r>
    </w:p>
    <w:p w14:paraId="11C67EC7">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-16滑车装置示意图</w:t>
      </w:r>
    </w:p>
    <w:p w14:paraId="3CEF4D7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任务道具（手动任务区）</w:t>
      </w:r>
    </w:p>
    <w:p w14:paraId="483BE512">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道具名称：</w:t>
      </w:r>
      <w:r>
        <w:rPr>
          <w:rFonts w:hint="eastAsia" w:ascii="仿宋_GB2312" w:hAnsi="仿宋_GB2312" w:eastAsia="仿宋_GB2312" w:cs="仿宋_GB2312"/>
          <w:bCs/>
          <w:color w:val="auto"/>
          <w:sz w:val="32"/>
          <w:szCs w:val="32"/>
        </w:rPr>
        <w:t>翻转台</w:t>
      </w:r>
    </w:p>
    <w:p w14:paraId="3CCFD08F">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由蓝色金属件、亚克力板以及黑色密度板搭建而成的立体装置，位于手动任务区中央位置；</w:t>
      </w:r>
    </w:p>
    <w:p w14:paraId="0B80E2CE">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420*135*186 mm（长、宽、高），1个</w:t>
      </w:r>
    </w:p>
    <w:p w14:paraId="3EED4227">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蓝色金属件、亚克力板、黑色密度板</w:t>
      </w:r>
    </w:p>
    <w:p w14:paraId="6A89BF0B">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drawing>
          <wp:inline distT="0" distB="0" distL="114300" distR="114300">
            <wp:extent cx="4088765" cy="2381250"/>
            <wp:effectExtent l="0" t="0" r="6985" b="0"/>
            <wp:docPr id="1568613015"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13015" name="Drawing 21"/>
                    <pic:cNvPicPr>
                      <a:picLocks noChangeAspect="1"/>
                    </pic:cNvPicPr>
                  </pic:nvPicPr>
                  <pic:blipFill>
                    <a:blip r:embed="rId45" cstate="print">
                      <a:extLst>
                        <a:ext uri="{28A0092B-C50C-407E-A947-70E740481C1C}">
                          <a14:useLocalDpi xmlns:a14="http://schemas.microsoft.com/office/drawing/2010/main" val="0"/>
                        </a:ext>
                      </a:extLst>
                    </a:blip>
                    <a:srcRect t="21309" b="8796"/>
                    <a:stretch>
                      <a:fillRect/>
                    </a:stretch>
                  </pic:blipFill>
                  <pic:spPr>
                    <a:xfrm>
                      <a:off x="0" y="0"/>
                      <a:ext cx="4088765" cy="2381250"/>
                    </a:xfrm>
                    <a:prstGeom prst="rect">
                      <a:avLst/>
                    </a:prstGeom>
                    <a:ln>
                      <a:noFill/>
                    </a:ln>
                  </pic:spPr>
                </pic:pic>
              </a:graphicData>
            </a:graphic>
          </wp:inline>
        </w:drawing>
      </w:r>
    </w:p>
    <w:p w14:paraId="4172EA67">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6.2</w:t>
      </w:r>
      <w:r>
        <w:rPr>
          <w:rFonts w:hint="eastAsia" w:ascii="仿宋_GB2312" w:hAnsi="仿宋_GB2312" w:eastAsia="仿宋_GB2312" w:cs="仿宋_GB2312"/>
          <w:bCs/>
          <w:color w:val="auto"/>
          <w:sz w:val="28"/>
          <w:szCs w:val="28"/>
        </w:rPr>
        <w:t>-17翻转台示意图</w:t>
      </w:r>
    </w:p>
    <w:p w14:paraId="0D606A15">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val="0"/>
          <w:bCs/>
          <w:color w:val="auto"/>
          <w:sz w:val="32"/>
          <w:szCs w:val="32"/>
        </w:rPr>
      </w:pPr>
      <w:r>
        <w:rPr>
          <w:rFonts w:hint="eastAsia" w:ascii="仿宋_GB2312" w:hAnsi="仿宋_GB2312" w:eastAsia="仿宋_GB2312" w:cs="仿宋_GB2312"/>
          <w:b/>
          <w:bCs/>
          <w:color w:val="auto"/>
          <w:sz w:val="32"/>
          <w:szCs w:val="32"/>
        </w:rPr>
        <w:t>道具名称：</w:t>
      </w:r>
      <w:r>
        <w:rPr>
          <w:rFonts w:hint="eastAsia" w:ascii="仿宋_GB2312" w:hAnsi="仿宋_GB2312" w:eastAsia="仿宋_GB2312" w:cs="仿宋_GB2312"/>
          <w:b w:val="0"/>
          <w:bCs/>
          <w:color w:val="auto"/>
          <w:sz w:val="32"/>
          <w:szCs w:val="32"/>
        </w:rPr>
        <w:t>X信号塔</w:t>
      </w:r>
    </w:p>
    <w:p w14:paraId="46D2532A">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由蓝色金属件、亚克力板以及黑色密度板搭建而成的立体装置，位于手动任务区翻转台两侧位置；</w:t>
      </w:r>
    </w:p>
    <w:p w14:paraId="0DCD3A31">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140*130*240 mm（长、宽、高），2个</w:t>
      </w:r>
    </w:p>
    <w:p w14:paraId="349BF9EE">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蓝色金属件、亚克力板、黑色密度板</w:t>
      </w:r>
    </w:p>
    <w:p w14:paraId="7C3D1B23">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注意：</w:t>
      </w:r>
      <w:r>
        <w:rPr>
          <w:rFonts w:hint="eastAsia" w:ascii="仿宋_GB2312" w:hAnsi="仿宋_GB2312" w:eastAsia="仿宋_GB2312" w:cs="仿宋_GB2312"/>
          <w:color w:val="000000" w:themeColor="text1"/>
          <w:sz w:val="32"/>
          <w:szCs w:val="32"/>
          <w14:textFill>
            <w14:solidFill>
              <w14:schemeClr w14:val="tx1"/>
            </w14:solidFill>
          </w14:textFill>
        </w:rPr>
        <w:t>在自然状态下，X型板的一侧可自由下落至底部，而另一次则保持抬升状态。</w:t>
      </w:r>
    </w:p>
    <w:p w14:paraId="10FD940F">
      <w:pPr>
        <w:pageBreakBefore w:val="0"/>
        <w:kinsoku/>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p>
    <w:p w14:paraId="1F817348">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Cs/>
          <w:sz w:val="32"/>
          <w:szCs w:val="32"/>
        </w:rPr>
        <w:drawing>
          <wp:inline distT="0" distB="0" distL="114300" distR="114300">
            <wp:extent cx="1573530" cy="1837690"/>
            <wp:effectExtent l="0" t="0" r="7620" b="0"/>
            <wp:docPr id="9919689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968922" name="图片 1"/>
                    <pic:cNvPicPr>
                      <a:picLocks noChangeAspect="1"/>
                    </pic:cNvPicPr>
                  </pic:nvPicPr>
                  <pic:blipFill>
                    <a:blip r:embed="rId46" cstate="print">
                      <a:extLst>
                        <a:ext uri="{28A0092B-C50C-407E-A947-70E740481C1C}">
                          <a14:useLocalDpi xmlns:a14="http://schemas.microsoft.com/office/drawing/2010/main" val="0"/>
                        </a:ext>
                      </a:extLst>
                    </a:blip>
                    <a:srcRect l="16900" r="16900"/>
                    <a:stretch>
                      <a:fillRect/>
                    </a:stretch>
                  </pic:blipFill>
                  <pic:spPr>
                    <a:xfrm>
                      <a:off x="0" y="0"/>
                      <a:ext cx="1573530" cy="1837690"/>
                    </a:xfrm>
                    <a:prstGeom prst="rect">
                      <a:avLst/>
                    </a:prstGeom>
                    <a:ln>
                      <a:noFill/>
                    </a:ln>
                  </pic:spPr>
                </pic:pic>
              </a:graphicData>
            </a:graphic>
          </wp:inline>
        </w:drawing>
      </w:r>
    </w:p>
    <w:p w14:paraId="0D1DE5A3">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6.2</w:t>
      </w:r>
      <w:r>
        <w:rPr>
          <w:rFonts w:hint="eastAsia" w:ascii="仿宋_GB2312" w:hAnsi="仿宋_GB2312" w:eastAsia="仿宋_GB2312" w:cs="仿宋_GB2312"/>
          <w:bCs/>
          <w:sz w:val="28"/>
          <w:szCs w:val="28"/>
        </w:rPr>
        <w:t>-18 X信号塔示意图</w:t>
      </w:r>
    </w:p>
    <w:p w14:paraId="62F524BD">
      <w:pPr>
        <w:pageBreakBefore w:val="0"/>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bCs/>
          <w:sz w:val="32"/>
          <w:szCs w:val="32"/>
        </w:rPr>
      </w:pPr>
    </w:p>
    <w:p w14:paraId="458DA255">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道具名称</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bCs/>
          <w:color w:val="auto"/>
          <w:sz w:val="32"/>
          <w:szCs w:val="32"/>
        </w:rPr>
        <w:t>补给装置</w:t>
      </w:r>
    </w:p>
    <w:p w14:paraId="65996D6B">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道具介绍：</w:t>
      </w:r>
      <w:r>
        <w:rPr>
          <w:rFonts w:hint="eastAsia" w:ascii="仿宋_GB2312" w:hAnsi="仿宋_GB2312" w:eastAsia="仿宋_GB2312" w:cs="仿宋_GB2312"/>
          <w:color w:val="000000" w:themeColor="text1"/>
          <w:sz w:val="32"/>
          <w:szCs w:val="32"/>
          <w14:textFill>
            <w14:solidFill>
              <w14:schemeClr w14:val="tx1"/>
            </w14:solidFill>
          </w14:textFill>
        </w:rPr>
        <w:t>由蓝色金属件搭建而成的立体装置，用于存放资源块；位于手动任务区边缘位置</w:t>
      </w:r>
    </w:p>
    <w:p w14:paraId="4A079A35">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道具尺寸与数量：</w:t>
      </w:r>
      <w:r>
        <w:rPr>
          <w:rFonts w:hint="eastAsia" w:ascii="仿宋_GB2312" w:hAnsi="仿宋_GB2312" w:eastAsia="仿宋_GB2312" w:cs="仿宋_GB2312"/>
          <w:color w:val="000000" w:themeColor="text1"/>
          <w:sz w:val="32"/>
          <w:szCs w:val="32"/>
          <w14:textFill>
            <w14:solidFill>
              <w14:schemeClr w14:val="tx1"/>
            </w14:solidFill>
          </w14:textFill>
        </w:rPr>
        <w:t>180*100.5*265 mm（长、宽、高），2个</w:t>
      </w:r>
    </w:p>
    <w:p w14:paraId="12DFFE98">
      <w:pPr>
        <w:pageBreakBefore w:val="0"/>
        <w:kinsoku/>
        <w:overflowPunct/>
        <w:topLinePunct w:val="0"/>
        <w:autoSpaceDE/>
        <w:autoSpaceDN/>
        <w:bidi w:val="0"/>
        <w:adjustRightInd w:val="0"/>
        <w:snapToGrid w:val="0"/>
        <w:spacing w:line="360" w:lineRule="auto"/>
        <w:ind w:firstLine="643" w:firstLineChars="200"/>
        <w:jc w:val="left"/>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b/>
          <w:sz w:val="32"/>
          <w:szCs w:val="32"/>
        </w:rPr>
        <w:t>颜色与材质：</w:t>
      </w:r>
      <w:r>
        <w:rPr>
          <w:rFonts w:hint="eastAsia" w:ascii="仿宋_GB2312" w:hAnsi="仿宋_GB2312" w:eastAsia="仿宋_GB2312" w:cs="仿宋_GB2312"/>
          <w:color w:val="000000" w:themeColor="text1"/>
          <w:sz w:val="32"/>
          <w:szCs w:val="32"/>
          <w14:textFill>
            <w14:solidFill>
              <w14:schemeClr w14:val="tx1"/>
            </w14:solidFill>
          </w14:textFill>
        </w:rPr>
        <w:t>蓝色金属件</w:t>
      </w:r>
    </w:p>
    <w:p w14:paraId="6277302F">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drawing>
          <wp:inline distT="0" distB="0" distL="114300" distR="114300">
            <wp:extent cx="2245995" cy="1870710"/>
            <wp:effectExtent l="0" t="0" r="1905" b="0"/>
            <wp:docPr id="16980282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028219" name="图片 1"/>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45995" cy="1870710"/>
                    </a:xfrm>
                    <a:prstGeom prst="rect">
                      <a:avLst/>
                    </a:prstGeom>
                  </pic:spPr>
                </pic:pic>
              </a:graphicData>
            </a:graphic>
          </wp:inline>
        </w:drawing>
      </w:r>
    </w:p>
    <w:p w14:paraId="575D1A3B">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图4.3-19补给装置示意图</w:t>
      </w:r>
    </w:p>
    <w:p w14:paraId="38A1597E">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color w:val="auto"/>
          <w:sz w:val="32"/>
          <w:szCs w:val="32"/>
        </w:rPr>
      </w:pPr>
    </w:p>
    <w:p w14:paraId="28CCF5ED">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32"/>
          <w:szCs w:val="32"/>
        </w:rPr>
      </w:pPr>
      <w:r>
        <w:rPr>
          <w:rFonts w:hint="eastAsia" w:ascii="仿宋_GB2312" w:hAnsi="仿宋_GB2312" w:eastAsia="仿宋_GB2312" w:cs="仿宋_GB2312"/>
          <w:sz w:val="32"/>
          <w:szCs w:val="32"/>
        </w:rPr>
        <w:drawing>
          <wp:inline distT="0" distB="0" distL="114300" distR="114300">
            <wp:extent cx="4994275" cy="2623820"/>
            <wp:effectExtent l="0" t="0" r="4445" b="12700"/>
            <wp:docPr id="7953977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97799" name="图片 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994275" cy="2623820"/>
                    </a:xfrm>
                    <a:prstGeom prst="rect">
                      <a:avLst/>
                    </a:prstGeom>
                  </pic:spPr>
                </pic:pic>
              </a:graphicData>
            </a:graphic>
          </wp:inline>
        </w:drawing>
      </w:r>
    </w:p>
    <w:p w14:paraId="73E95A90">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图4.3-20手动任务区任务道具位置示意图</w:t>
      </w:r>
    </w:p>
    <w:p w14:paraId="563B7C38">
      <w:pPr>
        <w:pStyle w:val="34"/>
        <w:pageBreakBefore w:val="0"/>
        <w:kinsoku/>
        <w:overflowPunct/>
        <w:topLinePunct w:val="0"/>
        <w:autoSpaceDE/>
        <w:autoSpaceDN/>
        <w:bidi w:val="0"/>
        <w:adjustRightInd w:val="0"/>
        <w:snapToGrid w:val="0"/>
        <w:spacing w:after="156" w:afterLines="50" w:line="360" w:lineRule="auto"/>
        <w:ind w:firstLine="0"/>
        <w:jc w:val="left"/>
        <w:textAlignment w:val="auto"/>
        <w:rPr>
          <w:rFonts w:hint="eastAsia" w:ascii="仿宋_GB2312" w:hAnsi="仿宋_GB2312" w:eastAsia="仿宋_GB2312" w:cs="仿宋_GB2312"/>
          <w:bCs/>
          <w:color w:val="auto"/>
          <w:sz w:val="32"/>
          <w:szCs w:val="32"/>
        </w:rPr>
      </w:pPr>
      <w:r>
        <w:rPr>
          <w:rFonts w:hint="eastAsia" w:ascii="仿宋_GB2312" w:hAnsi="仿宋_GB2312" w:eastAsia="仿宋_GB2312" w:cs="仿宋_GB2312"/>
          <w:bCs/>
          <w:color w:val="auto"/>
          <w:sz w:val="32"/>
          <w:szCs w:val="32"/>
        </w:rPr>
        <w:tab/>
      </w:r>
      <w:r>
        <w:rPr>
          <w:rFonts w:hint="eastAsia" w:ascii="仿宋_GB2312" w:hAnsi="仿宋_GB2312" w:eastAsia="仿宋_GB2312" w:cs="仿宋_GB2312"/>
          <w:bCs/>
          <w:color w:val="auto"/>
          <w:sz w:val="32"/>
          <w:szCs w:val="32"/>
        </w:rPr>
        <w:t>*注：所有场地及道具具有一定的合理公差。</w:t>
      </w:r>
    </w:p>
    <w:p w14:paraId="7427A577">
      <w:pPr>
        <w:pStyle w:val="3"/>
        <w:pageBreakBefore w:val="0"/>
        <w:numPr>
          <w:ilvl w:val="1"/>
          <w:numId w:val="12"/>
        </w:numPr>
        <w:kinsoku/>
        <w:overflowPunct/>
        <w:topLinePunct w:val="0"/>
        <w:autoSpaceDE/>
        <w:autoSpaceDN/>
        <w:bidi w:val="0"/>
        <w:adjustRightInd w:val="0"/>
        <w:snapToGrid w:val="0"/>
        <w:spacing w:line="360" w:lineRule="auto"/>
        <w:ind w:left="567" w:leftChars="0" w:hanging="567" w:firstLineChars="0"/>
        <w:textAlignment w:val="auto"/>
        <w:rPr>
          <w:rFonts w:hint="eastAsia" w:ascii="仿宋_GB2312" w:hAnsi="仿宋_GB2312" w:eastAsia="仿宋_GB2312" w:cs="仿宋_GB2312"/>
          <w:sz w:val="36"/>
          <w:szCs w:val="36"/>
        </w:rPr>
      </w:pPr>
      <w:bookmarkStart w:id="15" w:name="_Toc30344"/>
      <w:r>
        <w:rPr>
          <w:rFonts w:hint="eastAsia" w:ascii="仿宋_GB2312" w:hAnsi="仿宋_GB2312" w:eastAsia="仿宋_GB2312" w:cs="仿宋_GB2312"/>
          <w:sz w:val="36"/>
          <w:szCs w:val="36"/>
        </w:rPr>
        <w:t>任务介绍及得分判定</w:t>
      </w:r>
      <w:bookmarkEnd w:id="15"/>
    </w:p>
    <w:p w14:paraId="2A851085">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比赛任务分为独立任务、联盟任务以及可能出现的神秘任务。</w:t>
      </w:r>
    </w:p>
    <w:p w14:paraId="4DD794B5">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独立任务：</w:t>
      </w:r>
      <w:r>
        <w:rPr>
          <w:rFonts w:hint="eastAsia" w:ascii="仿宋_GB2312" w:hAnsi="仿宋_GB2312" w:eastAsia="仿宋_GB2312" w:cs="仿宋_GB2312"/>
          <w:sz w:val="32"/>
          <w:szCs w:val="32"/>
        </w:rPr>
        <w:t>M01-M04，独立任务所得分数为战队得分。</w:t>
      </w:r>
    </w:p>
    <w:p w14:paraId="67F5C714">
      <w:pPr>
        <w:pStyle w:val="34"/>
        <w:pageBreakBefore w:val="0"/>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z w:val="32"/>
          <w:szCs w:val="32"/>
        </w:rPr>
        <w:t>联盟任务：</w:t>
      </w:r>
      <w:r>
        <w:rPr>
          <w:rFonts w:hint="eastAsia" w:ascii="仿宋_GB2312" w:hAnsi="仿宋_GB2312" w:eastAsia="仿宋_GB2312" w:cs="仿宋_GB2312"/>
          <w:sz w:val="32"/>
          <w:szCs w:val="32"/>
        </w:rPr>
        <w:t>M05-M08，联盟任务所得分数红蓝战队共得</w:t>
      </w:r>
      <w:r>
        <w:rPr>
          <w:rFonts w:hint="eastAsia" w:ascii="仿宋_GB2312" w:hAnsi="仿宋_GB2312" w:eastAsia="仿宋_GB2312" w:cs="仿宋_GB2312"/>
          <w:sz w:val="32"/>
          <w:szCs w:val="32"/>
          <w:lang w:eastAsia="zh-CN"/>
        </w:rPr>
        <w:t>。</w:t>
      </w:r>
    </w:p>
    <w:p w14:paraId="3B053A1C">
      <w:pPr>
        <w:pStyle w:val="34"/>
        <w:pageBreakBefore w:val="0"/>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278120" cy="5551170"/>
            <wp:effectExtent l="0" t="0" r="17780" b="0"/>
            <wp:docPr id="138500352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003529" name="图片 5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78120" cy="5551170"/>
                    </a:xfrm>
                    <a:prstGeom prst="rect">
                      <a:avLst/>
                    </a:prstGeom>
                  </pic:spPr>
                </pic:pic>
              </a:graphicData>
            </a:graphic>
          </wp:inline>
        </w:drawing>
      </w:r>
    </w:p>
    <w:p w14:paraId="1CD5DD72">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-1自动任务区及手动任务区任务位置示意图</w:t>
      </w:r>
    </w:p>
    <w:p w14:paraId="4ECDC290">
      <w:pPr>
        <w:pStyle w:val="34"/>
        <w:pageBreakBefore w:val="0"/>
        <w:kinsoku/>
        <w:overflowPunct/>
        <w:topLinePunct w:val="0"/>
        <w:autoSpaceDE/>
        <w:autoSpaceDN/>
        <w:bidi w:val="0"/>
        <w:adjustRightInd w:val="0"/>
        <w:snapToGrid w:val="0"/>
        <w:spacing w:after="156" w:afterLines="50" w:line="360" w:lineRule="auto"/>
        <w:textAlignment w:val="auto"/>
        <w:rPr>
          <w:rFonts w:hint="eastAsia" w:ascii="仿宋_GB2312" w:hAnsi="仿宋_GB2312" w:eastAsia="仿宋_GB2312" w:cs="仿宋_GB2312"/>
          <w:sz w:val="32"/>
          <w:szCs w:val="32"/>
        </w:rPr>
      </w:pPr>
    </w:p>
    <w:p w14:paraId="116E027D">
      <w:pPr>
        <w:pStyle w:val="34"/>
        <w:pageBreakBefore w:val="0"/>
        <w:kinsoku/>
        <w:overflowPunct/>
        <w:topLinePunct w:val="0"/>
        <w:autoSpaceDE/>
        <w:autoSpaceDN/>
        <w:bidi w:val="0"/>
        <w:adjustRightInd w:val="0"/>
        <w:snapToGrid w:val="0"/>
        <w:spacing w:after="156" w:afterLines="50" w:line="360" w:lineRule="auto"/>
        <w:textAlignment w:val="auto"/>
        <w:rPr>
          <w:rFonts w:hint="eastAsia" w:ascii="仿宋_GB2312" w:hAnsi="仿宋_GB2312" w:eastAsia="仿宋_GB2312" w:cs="仿宋_GB2312"/>
          <w:sz w:val="32"/>
          <w:szCs w:val="32"/>
        </w:rPr>
      </w:pPr>
    </w:p>
    <w:p w14:paraId="11639A1F">
      <w:pPr>
        <w:pStyle w:val="34"/>
        <w:pageBreakBefore w:val="0"/>
        <w:kinsoku/>
        <w:overflowPunct/>
        <w:topLinePunct w:val="0"/>
        <w:autoSpaceDE/>
        <w:autoSpaceDN/>
        <w:bidi w:val="0"/>
        <w:adjustRightInd w:val="0"/>
        <w:snapToGrid w:val="0"/>
        <w:spacing w:after="156" w:afterLines="50"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单场比赛中，每支战队需完成4个独立任务、4个联盟任务，如下表所示： </w:t>
      </w:r>
    </w:p>
    <w:tbl>
      <w:tblPr>
        <w:tblStyle w:val="21"/>
        <w:tblW w:w="0" w:type="auto"/>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103"/>
        <w:gridCol w:w="1650"/>
        <w:gridCol w:w="3459"/>
      </w:tblGrid>
      <w:tr w14:paraId="0D425F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499" w:hRule="atLeast"/>
          <w:jc w:val="center"/>
        </w:trPr>
        <w:tc>
          <w:tcPr>
            <w:tcW w:w="2103" w:type="dxa"/>
            <w:vAlign w:val="center"/>
          </w:tcPr>
          <w:p w14:paraId="24AC6272">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阶段及时间</w:t>
            </w:r>
          </w:p>
        </w:tc>
        <w:tc>
          <w:tcPr>
            <w:tcW w:w="1650" w:type="dxa"/>
            <w:vAlign w:val="center"/>
          </w:tcPr>
          <w:p w14:paraId="04497926">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bCs/>
                <w:sz w:val="22"/>
                <w:szCs w:val="22"/>
              </w:rPr>
            </w:pPr>
            <w:r>
              <w:rPr>
                <w:rFonts w:hint="eastAsia" w:ascii="仿宋_GB2312" w:hAnsi="仿宋_GB2312" w:eastAsia="仿宋_GB2312" w:cs="仿宋_GB2312"/>
                <w:b/>
                <w:bCs/>
                <w:sz w:val="22"/>
                <w:szCs w:val="22"/>
              </w:rPr>
              <w:t>任务类型</w:t>
            </w:r>
          </w:p>
        </w:tc>
        <w:tc>
          <w:tcPr>
            <w:tcW w:w="3459" w:type="dxa"/>
            <w:vAlign w:val="center"/>
          </w:tcPr>
          <w:p w14:paraId="11B95018">
            <w:pPr>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bCs/>
                <w:sz w:val="22"/>
                <w:szCs w:val="22"/>
              </w:rPr>
            </w:pPr>
            <w:r>
              <w:rPr>
                <w:rFonts w:hint="eastAsia" w:ascii="仿宋_GB2312" w:hAnsi="仿宋_GB2312" w:eastAsia="仿宋_GB2312" w:cs="仿宋_GB2312"/>
                <w:b/>
                <w:bCs/>
                <w:color w:val="000000"/>
                <w:sz w:val="22"/>
                <w:szCs w:val="22"/>
              </w:rPr>
              <w:t>比赛任务</w:t>
            </w:r>
          </w:p>
        </w:tc>
      </w:tr>
      <w:tr w14:paraId="12DDDE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477" w:hRule="atLeast"/>
          <w:jc w:val="center"/>
        </w:trPr>
        <w:tc>
          <w:tcPr>
            <w:tcW w:w="2103" w:type="dxa"/>
            <w:vMerge w:val="restart"/>
            <w:vAlign w:val="center"/>
          </w:tcPr>
          <w:p w14:paraId="3191EAB2">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自动控制阶段</w:t>
            </w:r>
          </w:p>
          <w:p w14:paraId="4653564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（x秒，0&lt;x≤240）</w:t>
            </w:r>
          </w:p>
        </w:tc>
        <w:tc>
          <w:tcPr>
            <w:tcW w:w="1650" w:type="dxa"/>
            <w:vMerge w:val="restart"/>
            <w:vAlign w:val="center"/>
          </w:tcPr>
          <w:p w14:paraId="0621A36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独立任务</w:t>
            </w:r>
          </w:p>
        </w:tc>
        <w:tc>
          <w:tcPr>
            <w:tcW w:w="3459" w:type="dxa"/>
            <w:vAlign w:val="center"/>
          </w:tcPr>
          <w:p w14:paraId="5387914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M01 信号激活</w:t>
            </w:r>
          </w:p>
        </w:tc>
      </w:tr>
      <w:tr w14:paraId="758D89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499" w:hRule="atLeast"/>
          <w:jc w:val="center"/>
        </w:trPr>
        <w:tc>
          <w:tcPr>
            <w:tcW w:w="2103" w:type="dxa"/>
            <w:vMerge w:val="continue"/>
            <w:vAlign w:val="center"/>
          </w:tcPr>
          <w:p w14:paraId="64A94445">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val="0"/>
                <w:bCs w:val="0"/>
                <w:color w:val="auto"/>
                <w:sz w:val="22"/>
                <w:szCs w:val="22"/>
              </w:rPr>
            </w:pPr>
          </w:p>
        </w:tc>
        <w:tc>
          <w:tcPr>
            <w:tcW w:w="1650" w:type="dxa"/>
            <w:vMerge w:val="continue"/>
            <w:vAlign w:val="center"/>
          </w:tcPr>
          <w:p w14:paraId="4CACEFC5">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p>
        </w:tc>
        <w:tc>
          <w:tcPr>
            <w:tcW w:w="3459" w:type="dxa"/>
            <w:vAlign w:val="center"/>
          </w:tcPr>
          <w:p w14:paraId="2177373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M02 信号解码</w:t>
            </w:r>
          </w:p>
        </w:tc>
      </w:tr>
      <w:tr w14:paraId="144123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499" w:hRule="atLeast"/>
          <w:jc w:val="center"/>
        </w:trPr>
        <w:tc>
          <w:tcPr>
            <w:tcW w:w="2103" w:type="dxa"/>
            <w:vMerge w:val="continue"/>
            <w:vAlign w:val="center"/>
          </w:tcPr>
          <w:p w14:paraId="51D46188">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val="0"/>
                <w:bCs w:val="0"/>
                <w:color w:val="auto"/>
                <w:sz w:val="22"/>
                <w:szCs w:val="22"/>
              </w:rPr>
            </w:pPr>
          </w:p>
        </w:tc>
        <w:tc>
          <w:tcPr>
            <w:tcW w:w="1650" w:type="dxa"/>
            <w:vMerge w:val="continue"/>
            <w:vAlign w:val="center"/>
          </w:tcPr>
          <w:p w14:paraId="5BAE84AF">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p>
        </w:tc>
        <w:tc>
          <w:tcPr>
            <w:tcW w:w="3459" w:type="dxa"/>
            <w:vAlign w:val="center"/>
          </w:tcPr>
          <w:p w14:paraId="5125051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M03 能量环链接</w:t>
            </w:r>
          </w:p>
        </w:tc>
      </w:tr>
      <w:tr w14:paraId="5DBF90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336" w:hRule="atLeast"/>
          <w:jc w:val="center"/>
        </w:trPr>
        <w:tc>
          <w:tcPr>
            <w:tcW w:w="2103" w:type="dxa"/>
            <w:vMerge w:val="continue"/>
            <w:vAlign w:val="center"/>
          </w:tcPr>
          <w:p w14:paraId="21EFCE7E">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val="0"/>
                <w:bCs w:val="0"/>
                <w:color w:val="auto"/>
                <w:sz w:val="22"/>
                <w:szCs w:val="22"/>
              </w:rPr>
            </w:pPr>
          </w:p>
        </w:tc>
        <w:tc>
          <w:tcPr>
            <w:tcW w:w="1650" w:type="dxa"/>
            <w:vMerge w:val="continue"/>
            <w:vAlign w:val="center"/>
          </w:tcPr>
          <w:p w14:paraId="07D17A63">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p>
        </w:tc>
        <w:tc>
          <w:tcPr>
            <w:tcW w:w="3459" w:type="dxa"/>
            <w:vAlign w:val="center"/>
          </w:tcPr>
          <w:p w14:paraId="0A50EDCD">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M04数据缓存清理及资源置换</w:t>
            </w:r>
          </w:p>
        </w:tc>
      </w:tr>
      <w:tr w14:paraId="6D0A20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499" w:hRule="atLeast"/>
          <w:jc w:val="center"/>
        </w:trPr>
        <w:tc>
          <w:tcPr>
            <w:tcW w:w="2103" w:type="dxa"/>
            <w:vMerge w:val="continue"/>
            <w:vAlign w:val="center"/>
          </w:tcPr>
          <w:p w14:paraId="19059CD0">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val="0"/>
                <w:bCs w:val="0"/>
                <w:color w:val="auto"/>
                <w:sz w:val="22"/>
                <w:szCs w:val="22"/>
              </w:rPr>
            </w:pPr>
          </w:p>
        </w:tc>
        <w:tc>
          <w:tcPr>
            <w:tcW w:w="1650" w:type="dxa"/>
            <w:vMerge w:val="restart"/>
            <w:vAlign w:val="center"/>
          </w:tcPr>
          <w:p w14:paraId="075D8E7D">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联盟任务</w:t>
            </w:r>
          </w:p>
        </w:tc>
        <w:tc>
          <w:tcPr>
            <w:tcW w:w="3459" w:type="dxa"/>
            <w:vAlign w:val="center"/>
          </w:tcPr>
          <w:p w14:paraId="2B300A5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M05数据共享</w:t>
            </w:r>
          </w:p>
        </w:tc>
      </w:tr>
      <w:tr w14:paraId="405442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47" w:hRule="atLeast"/>
          <w:jc w:val="center"/>
        </w:trPr>
        <w:tc>
          <w:tcPr>
            <w:tcW w:w="2103" w:type="dxa"/>
            <w:vMerge w:val="continue"/>
            <w:vAlign w:val="center"/>
          </w:tcPr>
          <w:p w14:paraId="52345F52">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p>
        </w:tc>
        <w:tc>
          <w:tcPr>
            <w:tcW w:w="1650" w:type="dxa"/>
            <w:vMerge w:val="continue"/>
            <w:vAlign w:val="center"/>
          </w:tcPr>
          <w:p w14:paraId="3E399DF0">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3459" w:type="dxa"/>
            <w:vAlign w:val="center"/>
          </w:tcPr>
          <w:p w14:paraId="436CCF29">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M06 信道切换</w:t>
            </w:r>
          </w:p>
        </w:tc>
      </w:tr>
      <w:tr w14:paraId="464B4F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334" w:hRule="atLeast"/>
          <w:jc w:val="center"/>
        </w:trPr>
        <w:tc>
          <w:tcPr>
            <w:tcW w:w="2103" w:type="dxa"/>
            <w:vMerge w:val="restart"/>
            <w:vAlign w:val="center"/>
          </w:tcPr>
          <w:p w14:paraId="443674D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手动控制阶段</w:t>
            </w:r>
          </w:p>
          <w:p w14:paraId="49BCBF2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val="0"/>
                <w:bCs w:val="0"/>
                <w:color w:val="auto"/>
                <w:sz w:val="22"/>
                <w:szCs w:val="22"/>
              </w:rPr>
            </w:pPr>
            <w:r>
              <w:rPr>
                <w:rFonts w:hint="eastAsia" w:ascii="仿宋_GB2312" w:hAnsi="仿宋_GB2312" w:eastAsia="仿宋_GB2312" w:cs="仿宋_GB2312"/>
                <w:b w:val="0"/>
                <w:bCs w:val="0"/>
                <w:color w:val="auto"/>
                <w:sz w:val="22"/>
                <w:szCs w:val="22"/>
              </w:rPr>
              <w:t>（240-x 秒）</w:t>
            </w:r>
          </w:p>
        </w:tc>
        <w:tc>
          <w:tcPr>
            <w:tcW w:w="1650" w:type="dxa"/>
            <w:vMerge w:val="restart"/>
            <w:vAlign w:val="center"/>
          </w:tcPr>
          <w:p w14:paraId="68FEBAE5">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联盟任务</w:t>
            </w:r>
          </w:p>
        </w:tc>
        <w:tc>
          <w:tcPr>
            <w:tcW w:w="3459" w:type="dxa"/>
            <w:vAlign w:val="center"/>
          </w:tcPr>
          <w:p w14:paraId="0F54E113">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sz w:val="22"/>
                <w:szCs w:val="22"/>
              </w:rPr>
              <w:t>M07 数据点亮</w:t>
            </w:r>
          </w:p>
        </w:tc>
      </w:tr>
      <w:tr w14:paraId="14A954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90" w:hRule="atLeast"/>
          <w:jc w:val="center"/>
        </w:trPr>
        <w:tc>
          <w:tcPr>
            <w:tcW w:w="2103" w:type="dxa"/>
            <w:vMerge w:val="continue"/>
            <w:vAlign w:val="center"/>
          </w:tcPr>
          <w:p w14:paraId="6D2FB018">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650" w:type="dxa"/>
            <w:vMerge w:val="continue"/>
            <w:vAlign w:val="center"/>
          </w:tcPr>
          <w:p w14:paraId="59836C2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3459" w:type="dxa"/>
            <w:vAlign w:val="center"/>
          </w:tcPr>
          <w:p w14:paraId="21D8C925">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000000"/>
                <w:sz w:val="22"/>
                <w:szCs w:val="22"/>
              </w:rPr>
              <w:t>M08 X信号发射</w:t>
            </w:r>
          </w:p>
        </w:tc>
      </w:tr>
    </w:tbl>
    <w:p w14:paraId="09DC8C3D">
      <w:pPr>
        <w:pStyle w:val="67"/>
        <w:pageBreakBefore w:val="0"/>
        <w:kinsoku/>
        <w:overflowPunct/>
        <w:topLinePunct w:val="0"/>
        <w:autoSpaceDE/>
        <w:autoSpaceDN/>
        <w:bidi w:val="0"/>
        <w:adjustRightInd w:val="0"/>
        <w:snapToGrid w:val="0"/>
        <w:spacing w:before="156" w:before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M01 信号激活</w:t>
      </w:r>
    </w:p>
    <w:p w14:paraId="3954F10B">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任务类型：</w:t>
      </w:r>
      <w:r>
        <w:rPr>
          <w:rFonts w:hint="eastAsia" w:ascii="仿宋_GB2312" w:hAnsi="仿宋_GB2312" w:eastAsia="仿宋_GB2312" w:cs="仿宋_GB2312"/>
          <w:color w:val="auto"/>
          <w:sz w:val="32"/>
          <w:szCs w:val="32"/>
        </w:rPr>
        <w:t>独立任务</w:t>
      </w:r>
    </w:p>
    <w:p w14:paraId="022068F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初始状态：</w:t>
      </w:r>
      <w:r>
        <w:rPr>
          <w:rFonts w:hint="eastAsia" w:ascii="仿宋_GB2312" w:hAnsi="仿宋_GB2312" w:eastAsia="仿宋_GB2312" w:cs="仿宋_GB2312"/>
          <w:color w:val="auto"/>
          <w:sz w:val="32"/>
          <w:szCs w:val="32"/>
        </w:rPr>
        <w:t>任务初始区域将摆放有标签立牌装置，装置April Tag信息面与场地平行，圆柱资源区三个资源点，其中一个资源点摆放有一个黄色圆柱，黄色圆柱具体摆放位置及</w:t>
      </w:r>
      <w:bookmarkStart w:id="16" w:name="_Hlk208925053"/>
      <w:r>
        <w:rPr>
          <w:rFonts w:hint="eastAsia" w:ascii="仿宋_GB2312" w:hAnsi="仿宋_GB2312" w:eastAsia="仿宋_GB2312" w:cs="仿宋_GB2312"/>
          <w:color w:val="auto"/>
          <w:sz w:val="32"/>
          <w:szCs w:val="32"/>
        </w:rPr>
        <w:t>April Tag</w:t>
      </w:r>
      <w:bookmarkEnd w:id="16"/>
      <w:r>
        <w:rPr>
          <w:rFonts w:hint="eastAsia" w:ascii="仿宋_GB2312" w:hAnsi="仿宋_GB2312" w:eastAsia="仿宋_GB2312" w:cs="仿宋_GB2312"/>
          <w:color w:val="auto"/>
          <w:sz w:val="32"/>
          <w:szCs w:val="32"/>
        </w:rPr>
        <w:t>信息面，由赛前抽取的道具卡决定。（下图仅为其中1种摆放方式）</w:t>
      </w:r>
    </w:p>
    <w:p w14:paraId="27AE8DBB">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2429510" cy="2204720"/>
            <wp:effectExtent l="0" t="0" r="889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a:xfrm rot="10800000">
                      <a:off x="0" y="0"/>
                      <a:ext cx="2429510" cy="2204720"/>
                    </a:xfrm>
                    <a:prstGeom prst="rect">
                      <a:avLst/>
                    </a:prstGeom>
                    <a:noFill/>
                    <a:ln>
                      <a:noFill/>
                    </a:ln>
                  </pic:spPr>
                </pic:pic>
              </a:graphicData>
            </a:graphic>
          </wp:inline>
        </w:drawing>
      </w:r>
    </w:p>
    <w:p w14:paraId="3450260C">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-2 M01任务初始位置示意图</w:t>
      </w:r>
    </w:p>
    <w:p w14:paraId="279A686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任务分值：</w:t>
      </w:r>
      <w:r>
        <w:rPr>
          <w:rFonts w:hint="eastAsia" w:ascii="仿宋_GB2312" w:hAnsi="仿宋_GB2312" w:eastAsia="仿宋_GB2312" w:cs="仿宋_GB2312"/>
          <w:color w:val="auto"/>
          <w:sz w:val="32"/>
          <w:szCs w:val="32"/>
        </w:rPr>
        <w:t>成功将资源点上的黄色圆柱，移入标签立牌装置下方方形区域，计20分/个。</w:t>
      </w:r>
    </w:p>
    <w:p w14:paraId="5D6E8AD1">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得分判定：</w:t>
      </w:r>
      <w:r>
        <w:rPr>
          <w:rFonts w:hint="eastAsia" w:ascii="仿宋_GB2312" w:hAnsi="仿宋_GB2312" w:eastAsia="仿宋_GB2312" w:cs="仿宋_GB2312"/>
          <w:color w:val="auto"/>
          <w:sz w:val="32"/>
          <w:szCs w:val="32"/>
        </w:rPr>
        <w:t>自动控制阶段结束后的计分时刻</w:t>
      </w:r>
    </w:p>
    <w:p w14:paraId="74D04E49">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a.黄色圆柱的垂直投影完全进入标签立牌装置下方方形区域；</w:t>
      </w:r>
    </w:p>
    <w:p w14:paraId="14EF6773">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b.黄色圆柱及标签立牌装置与机器人无直接接触；</w:t>
      </w:r>
    </w:p>
    <w:p w14:paraId="765848F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c.标签立牌装置呈直立状态（April</w:t>
      </w:r>
      <w:r>
        <w:rPr>
          <w:rFonts w:hint="eastAsia" w:ascii="仿宋_GB2312" w:hAnsi="仿宋_GB2312" w:eastAsia="仿宋_GB2312" w:cs="仿宋_GB2312"/>
          <w:color w:val="auto"/>
          <w:sz w:val="32"/>
          <w:szCs w:val="32"/>
          <w:lang w:val="en-US" w:eastAsia="zh-CN"/>
        </w:rPr>
        <w:t xml:space="preserve"> </w:t>
      </w:r>
      <w:r>
        <w:rPr>
          <w:rFonts w:hint="eastAsia" w:ascii="仿宋_GB2312" w:hAnsi="仿宋_GB2312" w:eastAsia="仿宋_GB2312" w:cs="仿宋_GB2312"/>
          <w:color w:val="auto"/>
          <w:sz w:val="32"/>
          <w:szCs w:val="32"/>
        </w:rPr>
        <w:t>Tag信息面与场地呈45°）；</w:t>
      </w:r>
    </w:p>
    <w:p w14:paraId="6EDB745C">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d.标签立牌装置垂直投影部分在下方方形区域</w:t>
      </w:r>
    </w:p>
    <w:p w14:paraId="2C42978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以上判定均满足，则对应的黄色圆柱得分。</w:t>
      </w:r>
    </w:p>
    <w:p w14:paraId="6A0527AC">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rPr>
        <w:t>场地：</w:t>
      </w:r>
      <w:r>
        <w:rPr>
          <w:rFonts w:hint="eastAsia" w:ascii="仿宋_GB2312" w:hAnsi="仿宋_GB2312" w:eastAsia="仿宋_GB2312" w:cs="仿宋_GB2312"/>
          <w:color w:val="auto"/>
          <w:sz w:val="32"/>
          <w:szCs w:val="32"/>
        </w:rPr>
        <w:t>包括地图以及场地边框内侧和上表面，不包括场地边框外表面、桌面、地面等。</w:t>
      </w:r>
    </w:p>
    <w:p w14:paraId="74667808">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sz w:val="32"/>
          <w:szCs w:val="32"/>
        </w:rPr>
        <w:drawing>
          <wp:inline distT="0" distB="0" distL="114300" distR="114300">
            <wp:extent cx="4119245" cy="1191260"/>
            <wp:effectExtent l="0" t="0" r="14605" b="8890"/>
            <wp:docPr id="7726372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637297" name="图片 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119245" cy="1191260"/>
                    </a:xfrm>
                    <a:prstGeom prst="rect">
                      <a:avLst/>
                    </a:prstGeom>
                  </pic:spPr>
                </pic:pic>
              </a:graphicData>
            </a:graphic>
          </wp:inline>
        </w:drawing>
      </w:r>
    </w:p>
    <w:p w14:paraId="70D258BF">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-3 M01任务</w:t>
      </w:r>
      <w:r>
        <w:rPr>
          <w:rFonts w:hint="eastAsia" w:ascii="仿宋_GB2312" w:hAnsi="仿宋_GB2312" w:eastAsia="仿宋_GB2312" w:cs="仿宋_GB2312"/>
          <w:bCs/>
          <w:sz w:val="28"/>
          <w:szCs w:val="28"/>
        </w:rPr>
        <w:t>得分判定示意图</w:t>
      </w:r>
    </w:p>
    <w:p w14:paraId="279679EB">
      <w:pPr>
        <w:pStyle w:val="6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750B92A3">
      <w:pPr>
        <w:pStyle w:val="67"/>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M02 信号解码</w:t>
      </w:r>
    </w:p>
    <w:p w14:paraId="58057AA3">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任务类型：</w:t>
      </w:r>
      <w:r>
        <w:rPr>
          <w:rFonts w:hint="eastAsia" w:ascii="仿宋_GB2312" w:hAnsi="仿宋_GB2312" w:eastAsia="仿宋_GB2312" w:cs="仿宋_GB2312"/>
          <w:color w:val="auto"/>
          <w:sz w:val="32"/>
          <w:szCs w:val="32"/>
        </w:rPr>
        <w:t>独立任务</w:t>
      </w:r>
    </w:p>
    <w:p w14:paraId="653EB021">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任务内容：</w:t>
      </w:r>
      <w:r>
        <w:rPr>
          <w:rFonts w:hint="eastAsia" w:ascii="仿宋_GB2312" w:hAnsi="仿宋_GB2312" w:eastAsia="仿宋_GB2312" w:cs="仿宋_GB2312"/>
          <w:sz w:val="32"/>
          <w:szCs w:val="32"/>
        </w:rPr>
        <w:t>机器人需要根据M01任务中April Tag的指令，精准调整指针，以对接正确的信号通道</w:t>
      </w:r>
      <w:r>
        <w:rPr>
          <w:rFonts w:hint="eastAsia" w:ascii="仿宋_GB2312" w:hAnsi="仿宋_GB2312" w:eastAsia="仿宋_GB2312" w:cs="仿宋_GB2312"/>
          <w:color w:val="auto"/>
          <w:sz w:val="32"/>
          <w:szCs w:val="32"/>
        </w:rPr>
        <w:t>。</w:t>
      </w:r>
    </w:p>
    <w:p w14:paraId="79C6A27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初始状态：</w:t>
      </w:r>
      <w:r>
        <w:rPr>
          <w:rFonts w:hint="eastAsia" w:ascii="仿宋_GB2312" w:hAnsi="仿宋_GB2312" w:eastAsia="仿宋_GB2312" w:cs="仿宋_GB2312"/>
          <w:color w:val="auto"/>
          <w:sz w:val="32"/>
          <w:szCs w:val="32"/>
        </w:rPr>
        <w:t>中央指针装置指针指向地图上0°对应的黄色区域内。</w:t>
      </w:r>
    </w:p>
    <w:p w14:paraId="7210EFA9">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drawing>
          <wp:inline distT="0" distB="0" distL="114300" distR="114300">
            <wp:extent cx="1892300" cy="1878330"/>
            <wp:effectExtent l="0" t="0" r="12700" b="7620"/>
            <wp:docPr id="16060864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086434" name="图片 5"/>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892300" cy="1878330"/>
                    </a:xfrm>
                    <a:prstGeom prst="rect">
                      <a:avLst/>
                    </a:prstGeom>
                  </pic:spPr>
                </pic:pic>
              </a:graphicData>
            </a:graphic>
          </wp:inline>
        </w:drawing>
      </w:r>
    </w:p>
    <w:p w14:paraId="7E53A752">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-4 M02任务初始位置示意图</w:t>
      </w:r>
    </w:p>
    <w:p w14:paraId="6A4702C7">
      <w:pPr>
        <w:pageBreakBefore w:val="0"/>
        <w:widowControl/>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kern w:val="0"/>
          <w:sz w:val="32"/>
          <w:szCs w:val="32"/>
        </w:rPr>
      </w:pPr>
      <w:bookmarkStart w:id="17" w:name="_Hlk80288297"/>
      <w:r>
        <w:rPr>
          <w:rFonts w:hint="eastAsia" w:ascii="仿宋_GB2312" w:hAnsi="仿宋_GB2312" w:eastAsia="仿宋_GB2312" w:cs="仿宋_GB2312"/>
          <w:b/>
          <w:sz w:val="32"/>
          <w:szCs w:val="32"/>
        </w:rPr>
        <w:t>任务分值</w:t>
      </w:r>
      <w:r>
        <w:rPr>
          <w:rFonts w:hint="eastAsia" w:ascii="仿宋_GB2312" w:hAnsi="仿宋_GB2312" w:eastAsia="仿宋_GB2312" w:cs="仿宋_GB2312"/>
          <w:kern w:val="0"/>
          <w:sz w:val="32"/>
          <w:szCs w:val="32"/>
        </w:rPr>
        <w:t>：指针停留在对应角度的黄色区域内，计20分；</w:t>
      </w:r>
      <w:bookmarkEnd w:id="17"/>
      <w:r>
        <w:rPr>
          <w:rFonts w:hint="eastAsia" w:ascii="仿宋_GB2312" w:hAnsi="仿宋_GB2312" w:eastAsia="仿宋_GB2312" w:cs="仿宋_GB2312"/>
          <w:kern w:val="0"/>
          <w:sz w:val="32"/>
          <w:szCs w:val="32"/>
        </w:rPr>
        <w:t xml:space="preserve"> </w:t>
      </w:r>
    </w:p>
    <w:p w14:paraId="41426E39">
      <w:pPr>
        <w:pageBreakBefore w:val="0"/>
        <w:widowControl/>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kern w:val="0"/>
          <w:sz w:val="32"/>
          <w:szCs w:val="32"/>
          <w:lang w:eastAsia="zh-CN"/>
        </w:rPr>
      </w:pPr>
      <w:r>
        <w:rPr>
          <w:rFonts w:hint="eastAsia" w:ascii="仿宋_GB2312" w:hAnsi="仿宋_GB2312" w:eastAsia="仿宋_GB2312" w:cs="仿宋_GB2312"/>
          <w:b/>
          <w:sz w:val="32"/>
          <w:szCs w:val="32"/>
        </w:rPr>
        <w:t>得分判定：</w:t>
      </w:r>
      <w:r>
        <w:rPr>
          <w:rFonts w:hint="eastAsia" w:ascii="仿宋_GB2312" w:hAnsi="仿宋_GB2312" w:eastAsia="仿宋_GB2312" w:cs="仿宋_GB2312"/>
          <w:kern w:val="0"/>
          <w:sz w:val="32"/>
          <w:szCs w:val="32"/>
        </w:rPr>
        <w:t>自动控制阶段结束后的计分时刻</w:t>
      </w:r>
    </w:p>
    <w:p w14:paraId="2C8B6A0F">
      <w:pPr>
        <w:pageBreakBefore w:val="0"/>
        <w:widowControl/>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a.中央指针装置的指针指向M01任务中April Tag中的角度；</w:t>
      </w:r>
    </w:p>
    <w:p w14:paraId="7B7083C2">
      <w:pPr>
        <w:pageBreakBefore w:val="0"/>
        <w:widowControl/>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b.指针垂直投影完全停留在对应角度的黄色区域内；</w:t>
      </w:r>
    </w:p>
    <w:p w14:paraId="267BA02A">
      <w:pPr>
        <w:pageBreakBefore w:val="0"/>
        <w:widowControl/>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c.中央指针装置与机器人无直接接触；</w:t>
      </w:r>
    </w:p>
    <w:p w14:paraId="7249EF60">
      <w:pPr>
        <w:pageBreakBefore w:val="0"/>
        <w:widowControl/>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d.中央指针装置保持直立状态；</w:t>
      </w:r>
    </w:p>
    <w:p w14:paraId="74AB4B33">
      <w:pPr>
        <w:pageBreakBefore w:val="0"/>
        <w:widowControl/>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b w:val="0"/>
          <w:bCs/>
          <w:kern w:val="0"/>
          <w:sz w:val="32"/>
          <w:szCs w:val="32"/>
        </w:rPr>
      </w:pPr>
      <w:r>
        <w:rPr>
          <w:rFonts w:hint="eastAsia" w:ascii="仿宋_GB2312" w:hAnsi="仿宋_GB2312" w:eastAsia="仿宋_GB2312" w:cs="仿宋_GB2312"/>
          <w:b w:val="0"/>
          <w:bCs/>
          <w:kern w:val="0"/>
          <w:sz w:val="32"/>
          <w:szCs w:val="32"/>
        </w:rPr>
        <w:t>以上判定均满足，则该任务得分。</w:t>
      </w:r>
    </w:p>
    <w:p w14:paraId="3D611758">
      <w:pPr>
        <w:pageBreakBefore w:val="0"/>
        <w:widowControl/>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kern w:val="0"/>
          <w:sz w:val="32"/>
          <w:szCs w:val="32"/>
        </w:rPr>
      </w:pPr>
    </w:p>
    <w:p w14:paraId="2D672EA5">
      <w:pPr>
        <w:pageBreakBefore w:val="0"/>
        <w:widowControl/>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sz w:val="32"/>
          <w:szCs w:val="32"/>
        </w:rPr>
        <w:drawing>
          <wp:inline distT="0" distB="0" distL="114300" distR="114300">
            <wp:extent cx="3851910" cy="1440180"/>
            <wp:effectExtent l="0" t="0" r="15240" b="7620"/>
            <wp:docPr id="3191219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21985" name="图片 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851689" cy="1440000"/>
                    </a:xfrm>
                    <a:prstGeom prst="rect">
                      <a:avLst/>
                    </a:prstGeom>
                  </pic:spPr>
                </pic:pic>
              </a:graphicData>
            </a:graphic>
          </wp:inline>
        </w:drawing>
      </w:r>
    </w:p>
    <w:p w14:paraId="1CB21646">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-5 M02任务</w:t>
      </w:r>
      <w:r>
        <w:rPr>
          <w:rFonts w:hint="eastAsia" w:ascii="仿宋_GB2312" w:hAnsi="仿宋_GB2312" w:eastAsia="仿宋_GB2312" w:cs="仿宋_GB2312"/>
          <w:bCs/>
          <w:sz w:val="28"/>
          <w:szCs w:val="28"/>
        </w:rPr>
        <w:t>得分判定示意图</w:t>
      </w:r>
    </w:p>
    <w:p w14:paraId="1DCC422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M03 能量环链接</w:t>
      </w:r>
    </w:p>
    <w:p w14:paraId="4011BCE9">
      <w:pPr>
        <w:pStyle w:val="34"/>
        <w:pageBreakBefore w:val="0"/>
        <w:kinsoku/>
        <w:overflowPunct/>
        <w:topLinePunct w:val="0"/>
        <w:autoSpaceDE/>
        <w:autoSpaceDN/>
        <w:bidi w:val="0"/>
        <w:adjustRightInd w:val="0"/>
        <w:snapToGrid w:val="0"/>
        <w:spacing w:line="360" w:lineRule="auto"/>
        <w:textAlignment w:val="auto"/>
        <w:rPr>
          <w:rStyle w:val="64"/>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任务类型：</w:t>
      </w:r>
      <w:r>
        <w:rPr>
          <w:rStyle w:val="64"/>
          <w:rFonts w:hint="eastAsia" w:ascii="仿宋_GB2312" w:hAnsi="仿宋_GB2312" w:eastAsia="仿宋_GB2312" w:cs="仿宋_GB2312"/>
          <w:sz w:val="32"/>
          <w:szCs w:val="32"/>
        </w:rPr>
        <w:t>独立任务</w:t>
      </w:r>
    </w:p>
    <w:p w14:paraId="67A8B0D2">
      <w:pPr>
        <w:pStyle w:val="34"/>
        <w:pageBreakBefore w:val="0"/>
        <w:kinsoku/>
        <w:overflowPunct/>
        <w:topLinePunct w:val="0"/>
        <w:autoSpaceDE/>
        <w:autoSpaceDN/>
        <w:bidi w:val="0"/>
        <w:adjustRightInd w:val="0"/>
        <w:snapToGrid w:val="0"/>
        <w:spacing w:line="360" w:lineRule="auto"/>
        <w:textAlignment w:val="auto"/>
        <w:rPr>
          <w:rStyle w:val="64"/>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初始状态：</w:t>
      </w:r>
      <w:bookmarkStart w:id="18" w:name="_Hlk169858593"/>
      <w:r>
        <w:rPr>
          <w:rStyle w:val="64"/>
          <w:rFonts w:hint="eastAsia" w:ascii="仿宋_GB2312" w:hAnsi="仿宋_GB2312" w:eastAsia="仿宋_GB2312" w:cs="仿宋_GB2312"/>
          <w:sz w:val="32"/>
          <w:szCs w:val="32"/>
        </w:rPr>
        <w:t>挂环装置上悬挂有1个己方颜色的圆环</w:t>
      </w:r>
      <w:bookmarkEnd w:id="18"/>
    </w:p>
    <w:p w14:paraId="56A7B8FA">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2284730" cy="2326005"/>
            <wp:effectExtent l="0" t="0" r="1270" b="17145"/>
            <wp:docPr id="4149987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98745" name="图片 1"/>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284730" cy="2326005"/>
                    </a:xfrm>
                    <a:prstGeom prst="rect">
                      <a:avLst/>
                    </a:prstGeom>
                  </pic:spPr>
                </pic:pic>
              </a:graphicData>
            </a:graphic>
          </wp:inline>
        </w:drawing>
      </w:r>
    </w:p>
    <w:p w14:paraId="6E56709C">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图</w:t>
      </w:r>
      <w:r>
        <w:rPr>
          <w:rFonts w:hint="eastAsia" w:ascii="仿宋_GB2312" w:hAnsi="仿宋_GB2312" w:eastAsia="仿宋_GB2312" w:cs="仿宋_GB2312"/>
          <w:sz w:val="28"/>
          <w:szCs w:val="28"/>
          <w:lang w:val="en-US" w:eastAsia="zh-CN"/>
        </w:rPr>
        <w:t>6.3</w:t>
      </w:r>
      <w:r>
        <w:rPr>
          <w:rFonts w:hint="eastAsia" w:ascii="仿宋_GB2312" w:hAnsi="仿宋_GB2312" w:eastAsia="仿宋_GB2312" w:cs="仿宋_GB2312"/>
          <w:sz w:val="28"/>
          <w:szCs w:val="28"/>
        </w:rPr>
        <w:t>-6 M03初始任务位置示意图</w:t>
      </w:r>
    </w:p>
    <w:p w14:paraId="052AFFDF">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任务得分：</w:t>
      </w:r>
      <w:r>
        <w:rPr>
          <w:rFonts w:hint="eastAsia" w:ascii="仿宋_GB2312" w:hAnsi="仿宋_GB2312" w:eastAsia="仿宋_GB2312" w:cs="仿宋_GB2312"/>
          <w:sz w:val="32"/>
          <w:szCs w:val="32"/>
        </w:rPr>
        <w:t xml:space="preserve">成功将己方圆环转移至己方颜色的信标塔上，计30分； </w:t>
      </w:r>
    </w:p>
    <w:p w14:paraId="5DA6B06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sz w:val="32"/>
          <w:szCs w:val="32"/>
        </w:rPr>
        <w:t>得分判定：</w:t>
      </w:r>
      <w:r>
        <w:rPr>
          <w:rFonts w:hint="eastAsia" w:ascii="仿宋_GB2312" w:hAnsi="仿宋_GB2312" w:eastAsia="仿宋_GB2312" w:cs="仿宋_GB2312"/>
          <w:sz w:val="32"/>
          <w:szCs w:val="32"/>
        </w:rPr>
        <w:t>自动控制阶段结束后的计分时刻</w:t>
      </w:r>
    </w:p>
    <w:p w14:paraId="00801764">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a.信标塔垂直投影部分在初始资源点内，保持直立状态，不与机器人直接接触；</w:t>
      </w:r>
    </w:p>
    <w:p w14:paraId="4D0DFF5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b.圆环颜色与信标塔颜色一致，不与机器人直接接触；</w:t>
      </w:r>
    </w:p>
    <w:p w14:paraId="31D894B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c.圆环完整套入对应颜色的信标塔；</w:t>
      </w:r>
    </w:p>
    <w:p w14:paraId="0F78A979">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以上判定均满足，则对应的圆环得分。</w:t>
      </w:r>
    </w:p>
    <w:p w14:paraId="467AECD1">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5CC873EE">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918210" cy="1079500"/>
            <wp:effectExtent l="0" t="0" r="0" b="6350"/>
            <wp:docPr id="6778973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97385" name="图片 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918210" cy="1079500"/>
                    </a:xfrm>
                    <a:prstGeom prst="rect">
                      <a:avLst/>
                    </a:prstGeom>
                  </pic:spPr>
                </pic:pic>
              </a:graphicData>
            </a:graphic>
          </wp:inline>
        </w:drawing>
      </w:r>
    </w:p>
    <w:p w14:paraId="1F3281F9">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6.3-</w:t>
      </w:r>
      <w:r>
        <w:rPr>
          <w:rFonts w:hint="eastAsia" w:ascii="仿宋_GB2312" w:hAnsi="仿宋_GB2312" w:eastAsia="仿宋_GB2312" w:cs="仿宋_GB2312"/>
          <w:bCs/>
          <w:sz w:val="28"/>
          <w:szCs w:val="28"/>
        </w:rPr>
        <w:t>7 M03任务圆环完全套入示意图</w:t>
      </w:r>
    </w:p>
    <w:p w14:paraId="2DB08FB8">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p>
    <w:p w14:paraId="76E963C9">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p>
    <w:p w14:paraId="3C8AD0A2">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M04 数据缓存清理及资源置换</w:t>
      </w:r>
    </w:p>
    <w:p w14:paraId="501EFE6E">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Fonts w:hint="eastAsia" w:ascii="仿宋_GB2312" w:hAnsi="仿宋_GB2312" w:eastAsia="仿宋_GB2312" w:cs="仿宋_GB2312"/>
          <w:b/>
          <w:color w:val="auto"/>
          <w:sz w:val="32"/>
          <w:szCs w:val="32"/>
        </w:rPr>
        <w:t>任务类型：</w:t>
      </w:r>
      <w:r>
        <w:rPr>
          <w:rStyle w:val="64"/>
          <w:rFonts w:hint="eastAsia" w:ascii="仿宋_GB2312" w:hAnsi="仿宋_GB2312" w:eastAsia="仿宋_GB2312" w:cs="仿宋_GB2312"/>
          <w:sz w:val="32"/>
          <w:szCs w:val="32"/>
        </w:rPr>
        <w:t>独立任务</w:t>
      </w:r>
    </w:p>
    <w:p w14:paraId="73A74292">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color w:val="auto"/>
          <w:sz w:val="32"/>
          <w:szCs w:val="32"/>
        </w:rPr>
      </w:pPr>
      <w:r>
        <w:rPr>
          <w:rFonts w:hint="eastAsia" w:ascii="仿宋_GB2312" w:hAnsi="仿宋_GB2312" w:eastAsia="仿宋_GB2312" w:cs="仿宋_GB2312"/>
          <w:b/>
          <w:color w:val="auto"/>
          <w:sz w:val="32"/>
          <w:szCs w:val="32"/>
        </w:rPr>
        <w:t>初始状态：</w:t>
      </w:r>
    </w:p>
    <w:p w14:paraId="7D9C805E">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Fonts w:hint="eastAsia" w:ascii="仿宋_GB2312" w:hAnsi="仿宋_GB2312" w:eastAsia="仿宋_GB2312" w:cs="仿宋_GB2312"/>
          <w:b w:val="0"/>
          <w:bCs/>
          <w:color w:val="auto"/>
          <w:sz w:val="32"/>
          <w:szCs w:val="32"/>
          <w:lang w:eastAsia="zh-CN"/>
        </w:rPr>
        <w:t>（</w:t>
      </w:r>
      <w:r>
        <w:rPr>
          <w:rFonts w:hint="eastAsia" w:ascii="仿宋_GB2312" w:hAnsi="仿宋_GB2312" w:eastAsia="仿宋_GB2312" w:cs="仿宋_GB2312"/>
          <w:b w:val="0"/>
          <w:bCs/>
          <w:color w:val="auto"/>
          <w:sz w:val="32"/>
          <w:szCs w:val="32"/>
          <w:lang w:val="en-US" w:eastAsia="zh-CN"/>
        </w:rPr>
        <w:t>1</w:t>
      </w:r>
      <w:r>
        <w:rPr>
          <w:rFonts w:hint="eastAsia" w:ascii="仿宋_GB2312" w:hAnsi="仿宋_GB2312" w:eastAsia="仿宋_GB2312" w:cs="仿宋_GB2312"/>
          <w:b w:val="0"/>
          <w:bCs/>
          <w:color w:val="auto"/>
          <w:sz w:val="32"/>
          <w:szCs w:val="32"/>
          <w:lang w:eastAsia="zh-CN"/>
        </w:rPr>
        <w:t>）</w:t>
      </w:r>
      <w:r>
        <w:rPr>
          <w:rStyle w:val="64"/>
          <w:rFonts w:hint="eastAsia" w:ascii="仿宋_GB2312" w:hAnsi="仿宋_GB2312" w:eastAsia="仿宋_GB2312" w:cs="仿宋_GB2312"/>
          <w:b w:val="0"/>
          <w:bCs/>
          <w:sz w:val="32"/>
          <w:szCs w:val="32"/>
        </w:rPr>
        <w:t>储</w:t>
      </w:r>
      <w:r>
        <w:rPr>
          <w:rStyle w:val="64"/>
          <w:rFonts w:hint="eastAsia" w:ascii="仿宋_GB2312" w:hAnsi="仿宋_GB2312" w:eastAsia="仿宋_GB2312" w:cs="仿宋_GB2312"/>
          <w:sz w:val="32"/>
          <w:szCs w:val="32"/>
        </w:rPr>
        <w:t>物仓固定在手动任务区与自动任务区中央的扁铝上方，储物仓方块位与自动任务区地图上的圆柱资源点对应；储物仓中摆有己方颜色方块①*1个、对方颜色方块*1个和黄色方块*1个；</w:t>
      </w:r>
    </w:p>
    <w:p w14:paraId="2076B066">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lang w:eastAsia="zh-CN"/>
        </w:rPr>
        <w:t>（</w:t>
      </w:r>
      <w:r>
        <w:rPr>
          <w:rStyle w:val="64"/>
          <w:rFonts w:hint="eastAsia" w:ascii="仿宋_GB2312" w:hAnsi="仿宋_GB2312" w:eastAsia="仿宋_GB2312" w:cs="仿宋_GB2312"/>
          <w:sz w:val="32"/>
          <w:szCs w:val="32"/>
          <w:lang w:val="en-US" w:eastAsia="zh-CN"/>
        </w:rPr>
        <w:t>2</w:t>
      </w:r>
      <w:r>
        <w:rPr>
          <w:rStyle w:val="64"/>
          <w:rFonts w:hint="eastAsia" w:ascii="仿宋_GB2312" w:hAnsi="仿宋_GB2312" w:eastAsia="仿宋_GB2312" w:cs="仿宋_GB2312"/>
          <w:sz w:val="32"/>
          <w:szCs w:val="32"/>
          <w:lang w:eastAsia="zh-CN"/>
        </w:rPr>
        <w:t>）</w:t>
      </w:r>
      <w:r>
        <w:rPr>
          <w:rStyle w:val="64"/>
          <w:rFonts w:hint="eastAsia" w:ascii="仿宋_GB2312" w:hAnsi="仿宋_GB2312" w:eastAsia="仿宋_GB2312" w:cs="仿宋_GB2312"/>
          <w:sz w:val="32"/>
          <w:szCs w:val="32"/>
        </w:rPr>
        <w:t>资源转换器位于自动任务区中央位置，摆放有己方颜色方块③*1个、对方颜色方块*1个和黄色方块1个；</w:t>
      </w:r>
    </w:p>
    <w:p w14:paraId="6915E12A">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lang w:val="en-US" w:eastAsia="zh-CN"/>
        </w:rPr>
      </w:pPr>
      <w:r>
        <w:rPr>
          <w:rStyle w:val="64"/>
          <w:rFonts w:hint="eastAsia" w:ascii="仿宋_GB2312" w:hAnsi="仿宋_GB2312" w:eastAsia="仿宋_GB2312" w:cs="仿宋_GB2312"/>
          <w:sz w:val="32"/>
          <w:szCs w:val="32"/>
          <w:lang w:eastAsia="zh-CN"/>
        </w:rPr>
        <w:t>（</w:t>
      </w:r>
      <w:r>
        <w:rPr>
          <w:rStyle w:val="64"/>
          <w:rFonts w:hint="eastAsia" w:ascii="仿宋_GB2312" w:hAnsi="仿宋_GB2312" w:eastAsia="仿宋_GB2312" w:cs="仿宋_GB2312"/>
          <w:sz w:val="32"/>
          <w:szCs w:val="32"/>
          <w:lang w:val="en-US" w:eastAsia="zh-CN"/>
        </w:rPr>
        <w:t>3</w:t>
      </w:r>
      <w:r>
        <w:rPr>
          <w:rStyle w:val="64"/>
          <w:rFonts w:hint="eastAsia" w:ascii="仿宋_GB2312" w:hAnsi="仿宋_GB2312" w:eastAsia="仿宋_GB2312" w:cs="仿宋_GB2312"/>
          <w:sz w:val="32"/>
          <w:szCs w:val="32"/>
          <w:lang w:eastAsia="zh-CN"/>
        </w:rPr>
        <w:t>）</w:t>
      </w:r>
      <w:r>
        <w:rPr>
          <w:rStyle w:val="64"/>
          <w:rFonts w:hint="eastAsia" w:ascii="仿宋_GB2312" w:hAnsi="仿宋_GB2312" w:eastAsia="仿宋_GB2312" w:cs="仿宋_GB2312"/>
          <w:sz w:val="32"/>
          <w:szCs w:val="32"/>
        </w:rPr>
        <w:t>方块位置由赛前抽取的道具卡决定，以下示意图以蓝方为例的其中一种摆放方式</w:t>
      </w:r>
      <w:r>
        <w:rPr>
          <w:rStyle w:val="64"/>
          <w:rFonts w:hint="eastAsia" w:ascii="仿宋_GB2312" w:hAnsi="仿宋_GB2312" w:eastAsia="仿宋_GB2312" w:cs="仿宋_GB2312"/>
          <w:sz w:val="32"/>
          <w:szCs w:val="32"/>
          <w:lang w:eastAsia="zh-CN"/>
        </w:rPr>
        <w:t>。</w:t>
      </w:r>
    </w:p>
    <w:p w14:paraId="69DE9F0F">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2559050" cy="2235200"/>
            <wp:effectExtent l="0" t="0" r="12700" b="12700"/>
            <wp:docPr id="786163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63456" name="图片 1"/>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559142" cy="2235200"/>
                    </a:xfrm>
                    <a:prstGeom prst="rect">
                      <a:avLst/>
                    </a:prstGeom>
                  </pic:spPr>
                </pic:pic>
              </a:graphicData>
            </a:graphic>
          </wp:inline>
        </w:drawing>
      </w:r>
    </w:p>
    <w:p w14:paraId="77668254">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-8 M04任务初始位置示意图</w:t>
      </w:r>
    </w:p>
    <w:p w14:paraId="1CE1825A">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Fonts w:hint="eastAsia" w:ascii="仿宋_GB2312" w:hAnsi="仿宋_GB2312" w:eastAsia="仿宋_GB2312" w:cs="仿宋_GB2312"/>
          <w:b/>
          <w:color w:val="auto"/>
          <w:sz w:val="32"/>
          <w:szCs w:val="32"/>
        </w:rPr>
        <w:t>任务分值：</w:t>
      </w:r>
      <w:r>
        <w:rPr>
          <w:rStyle w:val="64"/>
          <w:rFonts w:hint="eastAsia" w:ascii="仿宋_GB2312" w:hAnsi="仿宋_GB2312" w:eastAsia="仿宋_GB2312" w:cs="仿宋_GB2312"/>
          <w:sz w:val="32"/>
          <w:szCs w:val="32"/>
        </w:rPr>
        <w:t>保持储物仓中己方颜色方块①在初始位置，计10分/个；黄色方块转移至手动任务区，计20分/个；将对方颜色方块从储物仓中取下，计20分/个（对方颜色的方块可以放在资源交换区，从而交换获取到己方颜色的方块）；将资源交换区己方颜色方块</w:t>
      </w:r>
      <w:r>
        <w:rPr>
          <w:rFonts w:hint="eastAsia" w:ascii="仿宋_GB2312" w:hAnsi="仿宋_GB2312" w:eastAsia="仿宋_GB2312" w:cs="仿宋_GB2312"/>
          <w:color w:val="auto"/>
          <w:sz w:val="32"/>
          <w:szCs w:val="32"/>
        </w:rPr>
        <w:t>②和资源转换器中的己方颜色方块③</w:t>
      </w:r>
      <w:r>
        <w:rPr>
          <w:rStyle w:val="64"/>
          <w:rFonts w:hint="eastAsia" w:ascii="仿宋_GB2312" w:hAnsi="仿宋_GB2312" w:eastAsia="仿宋_GB2312" w:cs="仿宋_GB2312"/>
          <w:sz w:val="32"/>
          <w:szCs w:val="32"/>
        </w:rPr>
        <w:t xml:space="preserve">嵌入储物仓中，计30分/个； </w:t>
      </w:r>
    </w:p>
    <w:p w14:paraId="3D2CF4B9">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Fonts w:hint="eastAsia" w:ascii="仿宋_GB2312" w:hAnsi="仿宋_GB2312" w:eastAsia="仿宋_GB2312" w:cs="仿宋_GB2312"/>
          <w:b/>
          <w:color w:val="auto"/>
          <w:sz w:val="32"/>
          <w:szCs w:val="32"/>
        </w:rPr>
        <w:t>得分判定：</w:t>
      </w:r>
      <w:r>
        <w:rPr>
          <w:rStyle w:val="64"/>
          <w:rFonts w:hint="eastAsia" w:ascii="仿宋_GB2312" w:hAnsi="仿宋_GB2312" w:eastAsia="仿宋_GB2312" w:cs="仿宋_GB2312"/>
          <w:sz w:val="32"/>
          <w:szCs w:val="32"/>
        </w:rPr>
        <w:t>自动控制阶段结束后的计分时刻，</w:t>
      </w:r>
      <w:r>
        <w:rPr>
          <w:rFonts w:hint="eastAsia" w:ascii="仿宋_GB2312" w:hAnsi="仿宋_GB2312" w:eastAsia="仿宋_GB2312" w:cs="仿宋_GB2312"/>
          <w:sz w:val="32"/>
          <w:szCs w:val="32"/>
        </w:rPr>
        <w:t>按以下4项逐条判定</w:t>
      </w:r>
      <w:r>
        <w:rPr>
          <w:rStyle w:val="64"/>
          <w:rFonts w:hint="eastAsia" w:ascii="仿宋_GB2312" w:hAnsi="仿宋_GB2312" w:eastAsia="仿宋_GB2312" w:cs="仿宋_GB2312"/>
          <w:sz w:val="32"/>
          <w:szCs w:val="32"/>
        </w:rPr>
        <w:t>：</w:t>
      </w:r>
    </w:p>
    <w:p w14:paraId="00B527C4">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rPr>
        <w:t>a.己方颜色方块①，保持初始位置；</w:t>
      </w:r>
    </w:p>
    <w:p w14:paraId="052FDF9C">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rPr>
        <w:t>b.黄色方块①垂直投影完全进入手动任务区；</w:t>
      </w:r>
    </w:p>
    <w:p w14:paraId="40C3336A">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rPr>
        <w:t>c.对方颜色方块垂直投影完全离开初始位置；</w:t>
      </w:r>
    </w:p>
    <w:p w14:paraId="4DFFC70D">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32"/>
          <w:szCs w:val="32"/>
        </w:rPr>
      </w:pPr>
      <w:r>
        <w:rPr>
          <w:rStyle w:val="64"/>
          <w:rFonts w:hint="eastAsia" w:ascii="仿宋_GB2312" w:hAnsi="仿宋_GB2312" w:eastAsia="仿宋_GB2312" w:cs="仿宋_GB2312"/>
          <w:sz w:val="32"/>
          <w:szCs w:val="32"/>
        </w:rPr>
        <w:t>d.</w:t>
      </w:r>
      <w:r>
        <w:rPr>
          <w:rFonts w:hint="eastAsia" w:ascii="仿宋_GB2312" w:hAnsi="仿宋_GB2312" w:eastAsia="仿宋_GB2312" w:cs="仿宋_GB2312"/>
          <w:color w:val="auto"/>
          <w:sz w:val="32"/>
          <w:szCs w:val="32"/>
        </w:rPr>
        <w:t>己方颜色方块②、③完全嵌入储物仓中；</w:t>
      </w:r>
    </w:p>
    <w:p w14:paraId="4899F7E4">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rPr>
        <w:t>满足以上对应的判定，则对应的方块得分。</w:t>
      </w:r>
    </w:p>
    <w:p w14:paraId="072F9517">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5E21EF27">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M05 数据共享</w:t>
      </w:r>
    </w:p>
    <w:p w14:paraId="56E08DC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任务类型：</w:t>
      </w:r>
      <w:r>
        <w:rPr>
          <w:rFonts w:hint="eastAsia" w:ascii="仿宋_GB2312" w:hAnsi="仿宋_GB2312" w:eastAsia="仿宋_GB2312" w:cs="仿宋_GB2312"/>
          <w:color w:val="auto"/>
          <w:sz w:val="32"/>
          <w:szCs w:val="32"/>
        </w:rPr>
        <w:t>联盟任务</w:t>
      </w:r>
    </w:p>
    <w:p w14:paraId="01980828">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初始状态：</w:t>
      </w:r>
      <w:r>
        <w:rPr>
          <w:rFonts w:hint="eastAsia" w:ascii="仿宋_GB2312" w:hAnsi="仿宋_GB2312" w:eastAsia="仿宋_GB2312" w:cs="仿宋_GB2312"/>
          <w:sz w:val="32"/>
          <w:szCs w:val="32"/>
        </w:rPr>
        <w:t>在己方方块资源区的三个资源点，其中一个资源点摆放有一个黄色方块，具体摆放位置由赛前抽取的道具卡决定。</w:t>
      </w:r>
    </w:p>
    <w:p w14:paraId="01BB5238">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49165" cy="1350645"/>
            <wp:effectExtent l="0" t="0" r="13335" b="1905"/>
            <wp:docPr id="568800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80005" name="图片 1"/>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749165" cy="1350645"/>
                    </a:xfrm>
                    <a:prstGeom prst="rect">
                      <a:avLst/>
                    </a:prstGeom>
                  </pic:spPr>
                </pic:pic>
              </a:graphicData>
            </a:graphic>
          </wp:inline>
        </w:drawing>
      </w:r>
      <w:bookmarkStart w:id="19" w:name="_Hlk169858572"/>
    </w:p>
    <w:bookmarkEnd w:id="19"/>
    <w:p w14:paraId="2B000C84">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6.3</w:t>
      </w:r>
      <w:r>
        <w:rPr>
          <w:rFonts w:hint="eastAsia" w:ascii="仿宋_GB2312" w:hAnsi="仿宋_GB2312" w:eastAsia="仿宋_GB2312" w:cs="仿宋_GB2312"/>
          <w:bCs/>
          <w:sz w:val="28"/>
          <w:szCs w:val="28"/>
        </w:rPr>
        <w:t>-9 M05任务初始位置示意图</w:t>
      </w:r>
    </w:p>
    <w:p w14:paraId="3BECE15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color w:val="auto"/>
          <w:sz w:val="32"/>
          <w:szCs w:val="32"/>
          <w:lang w:eastAsia="zh-CN"/>
        </w:rPr>
      </w:pPr>
      <w:r>
        <w:rPr>
          <w:rFonts w:hint="eastAsia" w:ascii="仿宋_GB2312" w:hAnsi="仿宋_GB2312" w:eastAsia="仿宋_GB2312" w:cs="仿宋_GB2312"/>
          <w:b/>
          <w:color w:val="auto"/>
          <w:sz w:val="32"/>
          <w:szCs w:val="32"/>
        </w:rPr>
        <w:t>任务分值：</w:t>
      </w:r>
      <w:r>
        <w:rPr>
          <w:rFonts w:hint="eastAsia" w:ascii="仿宋_GB2312" w:hAnsi="仿宋_GB2312" w:eastAsia="仿宋_GB2312" w:cs="仿宋_GB2312"/>
          <w:color w:val="auto"/>
          <w:sz w:val="32"/>
          <w:szCs w:val="32"/>
        </w:rPr>
        <w:t>成功将黄色方块完全嵌入资源转换器中，计30分/个</w:t>
      </w:r>
      <w:r>
        <w:rPr>
          <w:rFonts w:hint="eastAsia" w:ascii="仿宋_GB2312" w:hAnsi="仿宋_GB2312" w:eastAsia="仿宋_GB2312" w:cs="仿宋_GB2312"/>
          <w:color w:val="auto"/>
          <w:sz w:val="32"/>
          <w:szCs w:val="32"/>
          <w:lang w:eastAsia="zh-CN"/>
        </w:rPr>
        <w:t>；</w:t>
      </w:r>
    </w:p>
    <w:p w14:paraId="01D10179">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b/>
          <w:color w:val="auto"/>
          <w:sz w:val="32"/>
          <w:szCs w:val="32"/>
        </w:rPr>
        <w:t>得分判定：</w:t>
      </w:r>
      <w:r>
        <w:rPr>
          <w:rFonts w:hint="eastAsia" w:ascii="仿宋_GB2312" w:hAnsi="仿宋_GB2312" w:eastAsia="仿宋_GB2312" w:cs="仿宋_GB2312"/>
          <w:color w:val="auto"/>
          <w:sz w:val="32"/>
          <w:szCs w:val="32"/>
        </w:rPr>
        <w:t>自动控制阶段结束后的计分时刻</w:t>
      </w:r>
    </w:p>
    <w:p w14:paraId="00468866">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rPr>
        <w:t>a.</w:t>
      </w:r>
      <w:r>
        <w:rPr>
          <w:rFonts w:hint="eastAsia" w:ascii="仿宋_GB2312" w:hAnsi="仿宋_GB2312" w:eastAsia="仿宋_GB2312" w:cs="仿宋_GB2312"/>
          <w:sz w:val="32"/>
          <w:szCs w:val="32"/>
        </w:rPr>
        <w:t xml:space="preserve"> 资源转换器保持直立状态;</w:t>
      </w:r>
    </w:p>
    <w:p w14:paraId="71E5FC09">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w:t>
      </w:r>
      <w:r>
        <w:rPr>
          <w:rFonts w:hint="eastAsia" w:ascii="仿宋_GB2312" w:hAnsi="仿宋_GB2312" w:eastAsia="仿宋_GB2312" w:cs="仿宋_GB2312"/>
          <w:color w:val="auto"/>
          <w:sz w:val="32"/>
          <w:szCs w:val="32"/>
        </w:rPr>
        <w:t xml:space="preserve"> 黄色方块完全嵌入资源转换器的凹槽中</w:t>
      </w:r>
      <w:r>
        <w:rPr>
          <w:rFonts w:hint="eastAsia" w:ascii="仿宋_GB2312" w:hAnsi="仿宋_GB2312" w:eastAsia="仿宋_GB2312" w:cs="仿宋_GB2312"/>
          <w:sz w:val="32"/>
          <w:szCs w:val="32"/>
        </w:rPr>
        <w:t>；</w:t>
      </w:r>
    </w:p>
    <w:p w14:paraId="5D090B0F">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sz w:val="32"/>
          <w:szCs w:val="32"/>
        </w:rPr>
        <w:t>以上判定均满足，则对应的黄色方块得分</w:t>
      </w:r>
      <w:r>
        <w:rPr>
          <w:rFonts w:hint="eastAsia" w:ascii="仿宋_GB2312" w:hAnsi="仿宋_GB2312" w:eastAsia="仿宋_GB2312" w:cs="仿宋_GB2312"/>
          <w:color w:val="auto"/>
          <w:sz w:val="32"/>
          <w:szCs w:val="32"/>
        </w:rPr>
        <w:t>。</w:t>
      </w:r>
    </w:p>
    <w:p w14:paraId="491A994E">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p>
    <w:p w14:paraId="6A26D080">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M06 信道切换</w:t>
      </w:r>
    </w:p>
    <w:p w14:paraId="6E19A58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color w:val="auto"/>
          <w:sz w:val="32"/>
          <w:szCs w:val="32"/>
        </w:rPr>
        <w:t>任务类型：</w:t>
      </w:r>
      <w:r>
        <w:rPr>
          <w:rFonts w:hint="eastAsia" w:ascii="仿宋_GB2312" w:hAnsi="仿宋_GB2312" w:eastAsia="仿宋_GB2312" w:cs="仿宋_GB2312"/>
          <w:color w:val="auto"/>
          <w:sz w:val="32"/>
          <w:szCs w:val="32"/>
        </w:rPr>
        <w:t>联盟任务</w:t>
      </w:r>
    </w:p>
    <w:p w14:paraId="0D88A4E0">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color w:val="auto"/>
          <w:sz w:val="32"/>
          <w:szCs w:val="32"/>
        </w:rPr>
        <w:t>初始状态：</w:t>
      </w:r>
      <w:r>
        <w:rPr>
          <w:rFonts w:hint="eastAsia" w:ascii="仿宋_GB2312" w:hAnsi="仿宋_GB2312" w:eastAsia="仿宋_GB2312" w:cs="仿宋_GB2312"/>
          <w:sz w:val="32"/>
          <w:szCs w:val="32"/>
        </w:rPr>
        <w:t>自动任务区和手动任务区中间的滑车装置位于可伸展的最远点位。</w:t>
      </w:r>
    </w:p>
    <w:p w14:paraId="002DE053">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2767965" cy="1522095"/>
            <wp:effectExtent l="0" t="0" r="13335" b="1905"/>
            <wp:docPr id="6544459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45999" name="图片 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767965" cy="1522095"/>
                    </a:xfrm>
                    <a:prstGeom prst="rect">
                      <a:avLst/>
                    </a:prstGeom>
                  </pic:spPr>
                </pic:pic>
              </a:graphicData>
            </a:graphic>
          </wp:inline>
        </w:drawing>
      </w:r>
    </w:p>
    <w:p w14:paraId="63E310BA">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6.3</w:t>
      </w:r>
      <w:r>
        <w:rPr>
          <w:rFonts w:hint="eastAsia" w:ascii="仿宋_GB2312" w:hAnsi="仿宋_GB2312" w:eastAsia="仿宋_GB2312" w:cs="仿宋_GB2312"/>
          <w:bCs/>
          <w:sz w:val="28"/>
          <w:szCs w:val="28"/>
        </w:rPr>
        <w:t>-10 M06任务初始位置示意图</w:t>
      </w:r>
    </w:p>
    <w:p w14:paraId="19059374">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color w:val="auto"/>
          <w:sz w:val="32"/>
          <w:szCs w:val="32"/>
        </w:rPr>
        <w:t>任务分值：</w:t>
      </w:r>
      <w:r>
        <w:rPr>
          <w:rFonts w:hint="eastAsia" w:ascii="仿宋_GB2312" w:hAnsi="仿宋_GB2312" w:eastAsia="仿宋_GB2312" w:cs="仿宋_GB2312"/>
          <w:sz w:val="32"/>
          <w:szCs w:val="32"/>
        </w:rPr>
        <w:t>机器人垂直投影完全进入手动任务区，计30分/台</w:t>
      </w:r>
      <w:r>
        <w:rPr>
          <w:rFonts w:hint="eastAsia" w:ascii="仿宋_GB2312" w:hAnsi="仿宋_GB2312" w:eastAsia="仿宋_GB2312" w:cs="仿宋_GB2312"/>
          <w:sz w:val="32"/>
          <w:szCs w:val="32"/>
          <w:lang w:eastAsia="zh-CN"/>
        </w:rPr>
        <w:t>；</w:t>
      </w:r>
    </w:p>
    <w:p w14:paraId="1BE00490">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b/>
          <w:color w:val="auto"/>
          <w:sz w:val="32"/>
          <w:szCs w:val="32"/>
        </w:rPr>
        <w:t>得分判定：</w:t>
      </w:r>
      <w:r>
        <w:rPr>
          <w:rFonts w:hint="eastAsia" w:ascii="仿宋_GB2312" w:hAnsi="仿宋_GB2312" w:eastAsia="仿宋_GB2312" w:cs="仿宋_GB2312"/>
          <w:color w:val="auto"/>
          <w:sz w:val="32"/>
          <w:szCs w:val="32"/>
        </w:rPr>
        <w:t>自动控制阶段结束后的计分时刻</w:t>
      </w:r>
    </w:p>
    <w:p w14:paraId="7756FE00">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rPr>
        <w:t>a.机器人垂直投影完全进入手动任务区；</w:t>
      </w:r>
    </w:p>
    <w:p w14:paraId="5F5B4C32">
      <w:pPr>
        <w:pStyle w:val="34"/>
        <w:pageBreakBefore w:val="0"/>
        <w:kinsoku/>
        <w:overflowPunct/>
        <w:topLinePunct w:val="0"/>
        <w:autoSpaceDE/>
        <w:autoSpaceDN/>
        <w:bidi w:val="0"/>
        <w:adjustRightInd w:val="0"/>
        <w:snapToGrid w:val="0"/>
        <w:spacing w:line="360" w:lineRule="auto"/>
        <w:jc w:val="left"/>
        <w:textAlignment w:val="auto"/>
        <w:rPr>
          <w:rStyle w:val="64"/>
          <w:rFonts w:hint="eastAsia" w:ascii="仿宋_GB2312" w:hAnsi="仿宋_GB2312" w:eastAsia="仿宋_GB2312" w:cs="仿宋_GB2312"/>
          <w:sz w:val="32"/>
          <w:szCs w:val="32"/>
        </w:rPr>
      </w:pPr>
      <w:r>
        <w:rPr>
          <w:rStyle w:val="64"/>
          <w:rFonts w:hint="eastAsia" w:ascii="仿宋_GB2312" w:hAnsi="仿宋_GB2312" w:eastAsia="仿宋_GB2312" w:cs="仿宋_GB2312"/>
          <w:sz w:val="32"/>
          <w:szCs w:val="32"/>
        </w:rPr>
        <w:t>b.机器人与滑车装置无直接接触；</w:t>
      </w:r>
    </w:p>
    <w:p w14:paraId="558B7123">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sz w:val="32"/>
          <w:szCs w:val="32"/>
        </w:rPr>
        <w:t>满足以上判定，则对应的机器人得分</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sz w:val="32"/>
          <w:szCs w:val="32"/>
        </w:rPr>
        <w:drawing>
          <wp:inline distT="0" distB="0" distL="114300" distR="114300">
            <wp:extent cx="5755005" cy="1329055"/>
            <wp:effectExtent l="0" t="0" r="17145" b="4445"/>
            <wp:docPr id="10985530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553076" name="图片 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755005" cy="1329055"/>
                    </a:xfrm>
                    <a:prstGeom prst="rect">
                      <a:avLst/>
                    </a:prstGeom>
                  </pic:spPr>
                </pic:pic>
              </a:graphicData>
            </a:graphic>
          </wp:inline>
        </w:drawing>
      </w:r>
    </w:p>
    <w:p w14:paraId="3F47E48C">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6.3</w:t>
      </w:r>
      <w:r>
        <w:rPr>
          <w:rFonts w:hint="eastAsia" w:ascii="仿宋_GB2312" w:hAnsi="仿宋_GB2312" w:eastAsia="仿宋_GB2312" w:cs="仿宋_GB2312"/>
          <w:bCs/>
          <w:sz w:val="28"/>
          <w:szCs w:val="28"/>
        </w:rPr>
        <w:t>-11 M06任务得分判定图</w:t>
      </w:r>
    </w:p>
    <w:p w14:paraId="032A30FD">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50ECFF93">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M07 数据点亮</w:t>
      </w:r>
    </w:p>
    <w:p w14:paraId="17517846">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val="0"/>
          <w:bCs/>
          <w:color w:val="000000" w:themeColor="text1"/>
          <w:sz w:val="32"/>
          <w:szCs w:val="32"/>
          <w14:textFill>
            <w14:solidFill>
              <w14:schemeClr w14:val="tx1"/>
            </w14:solidFill>
          </w14:textFill>
        </w:rPr>
      </w:pPr>
      <w:r>
        <w:rPr>
          <w:rStyle w:val="64"/>
          <w:rFonts w:hint="eastAsia" w:ascii="仿宋_GB2312" w:hAnsi="仿宋_GB2312" w:eastAsia="仿宋_GB2312" w:cs="仿宋_GB2312"/>
          <w:b/>
          <w:bCs w:val="0"/>
          <w:color w:val="auto"/>
          <w:sz w:val="32"/>
          <w:szCs w:val="32"/>
        </w:rPr>
        <w:t>任务类型：</w:t>
      </w:r>
      <w:r>
        <w:rPr>
          <w:rFonts w:hint="eastAsia" w:ascii="仿宋_GB2312" w:hAnsi="仿宋_GB2312" w:eastAsia="仿宋_GB2312" w:cs="仿宋_GB2312"/>
          <w:b w:val="0"/>
          <w:bCs/>
          <w:color w:val="000000" w:themeColor="text1"/>
          <w:sz w:val="32"/>
          <w:szCs w:val="32"/>
          <w14:textFill>
            <w14:solidFill>
              <w14:schemeClr w14:val="tx1"/>
            </w14:solidFill>
          </w14:textFill>
        </w:rPr>
        <w:t>联盟任务</w:t>
      </w:r>
    </w:p>
    <w:p w14:paraId="41400105">
      <w:pPr>
        <w:pStyle w:val="67"/>
        <w:pageBreakBefore w:val="0"/>
        <w:kinsoku/>
        <w:overflowPunct/>
        <w:topLinePunct w:val="0"/>
        <w:autoSpaceDE/>
        <w:autoSpaceDN/>
        <w:bidi w:val="0"/>
        <w:adjustRightInd w:val="0"/>
        <w:snapToGrid w:val="0"/>
        <w:spacing w:line="360" w:lineRule="auto"/>
        <w:ind w:firstLine="643" w:firstLineChars="200"/>
        <w:textAlignment w:val="auto"/>
        <w:rPr>
          <w:rFonts w:hint="eastAsia" w:ascii="仿宋_GB2312" w:hAnsi="仿宋_GB2312" w:eastAsia="仿宋_GB2312" w:cs="仿宋_GB2312"/>
          <w:b w:val="0"/>
          <w:bCs/>
          <w:color w:val="000000" w:themeColor="text1"/>
          <w:sz w:val="32"/>
          <w:szCs w:val="32"/>
          <w14:textFill>
            <w14:solidFill>
              <w14:schemeClr w14:val="tx1"/>
            </w14:solidFill>
          </w14:textFill>
        </w:rPr>
      </w:pPr>
      <w:r>
        <w:rPr>
          <w:rStyle w:val="64"/>
          <w:rFonts w:hint="eastAsia" w:ascii="仿宋_GB2312" w:hAnsi="仿宋_GB2312" w:eastAsia="仿宋_GB2312" w:cs="仿宋_GB2312"/>
          <w:b/>
          <w:bCs w:val="0"/>
          <w:color w:val="auto"/>
          <w:sz w:val="32"/>
          <w:szCs w:val="32"/>
        </w:rPr>
        <w:t>初始状态：</w:t>
      </w:r>
      <w:r>
        <w:rPr>
          <w:rFonts w:hint="eastAsia" w:ascii="仿宋_GB2312" w:hAnsi="仿宋_GB2312" w:eastAsia="仿宋_GB2312" w:cs="仿宋_GB2312"/>
          <w:b w:val="0"/>
          <w:bCs/>
          <w:color w:val="000000" w:themeColor="text1"/>
          <w:sz w:val="32"/>
          <w:szCs w:val="32"/>
          <w14:textFill>
            <w14:solidFill>
              <w14:schemeClr w14:val="tx1"/>
            </w14:solidFill>
          </w14:textFill>
        </w:rPr>
        <w:t>2个补给装置上分别悬挂有3个黄色方块，共有6个黄色方块。其余2个黄色方块取决于红蓝战队能否将对应道具移到手动任务区内。</w:t>
      </w:r>
    </w:p>
    <w:p w14:paraId="5DC09354">
      <w:pPr>
        <w:pStyle w:val="67"/>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 w:val="0"/>
          <w:bCs/>
          <w:color w:val="000000" w:themeColor="text1"/>
          <w:sz w:val="32"/>
          <w:szCs w:val="32"/>
          <w14:textFill>
            <w14:solidFill>
              <w14:schemeClr w14:val="tx1"/>
            </w14:solidFill>
          </w14:textFill>
        </w:rPr>
      </w:pPr>
      <w:r>
        <w:rPr>
          <w:rFonts w:hint="eastAsia" w:ascii="仿宋_GB2312" w:hAnsi="仿宋_GB2312" w:eastAsia="仿宋_GB2312" w:cs="仿宋_GB2312"/>
          <w:sz w:val="32"/>
          <w:szCs w:val="32"/>
        </w:rPr>
        <w:drawing>
          <wp:inline distT="0" distB="0" distL="114300" distR="114300">
            <wp:extent cx="3649345" cy="866775"/>
            <wp:effectExtent l="0" t="0" r="8890" b="7620"/>
            <wp:docPr id="42" name="Draw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Drawing 41"/>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649643" cy="866670"/>
                    </a:xfrm>
                    <a:prstGeom prst="rect">
                      <a:avLst/>
                    </a:prstGeom>
                  </pic:spPr>
                </pic:pic>
              </a:graphicData>
            </a:graphic>
          </wp:inline>
        </w:drawing>
      </w:r>
    </w:p>
    <w:p w14:paraId="4FD5CB3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color w:val="FF0000"/>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-12 M07初始任务位置示意图</w:t>
      </w:r>
    </w:p>
    <w:p w14:paraId="5BBE1D50">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val="0"/>
          <w:bCs/>
          <w:color w:val="auto"/>
          <w:sz w:val="32"/>
          <w:szCs w:val="32"/>
        </w:rPr>
      </w:pPr>
      <w:r>
        <w:rPr>
          <w:rStyle w:val="64"/>
          <w:rFonts w:hint="eastAsia" w:ascii="仿宋_GB2312" w:hAnsi="仿宋_GB2312" w:eastAsia="仿宋_GB2312" w:cs="仿宋_GB2312"/>
          <w:b w:val="0"/>
          <w:bCs/>
          <w:color w:val="auto"/>
          <w:sz w:val="32"/>
          <w:szCs w:val="32"/>
        </w:rPr>
        <w:tab/>
      </w:r>
      <w:r>
        <w:rPr>
          <w:rStyle w:val="64"/>
          <w:rFonts w:hint="eastAsia" w:ascii="仿宋_GB2312" w:hAnsi="仿宋_GB2312" w:eastAsia="仿宋_GB2312" w:cs="仿宋_GB2312"/>
          <w:b w:val="0"/>
          <w:bCs/>
          <w:color w:val="auto"/>
          <w:sz w:val="32"/>
          <w:szCs w:val="32"/>
          <w:lang w:val="en-US" w:eastAsia="zh-CN"/>
        </w:rPr>
        <w:t xml:space="preserve">  </w:t>
      </w:r>
      <w:r>
        <w:rPr>
          <w:rStyle w:val="64"/>
          <w:rFonts w:hint="eastAsia" w:ascii="仿宋_GB2312" w:hAnsi="仿宋_GB2312" w:eastAsia="仿宋_GB2312" w:cs="仿宋_GB2312"/>
          <w:b/>
          <w:bCs w:val="0"/>
          <w:color w:val="auto"/>
          <w:sz w:val="32"/>
          <w:szCs w:val="32"/>
        </w:rPr>
        <w:t>任务得分：</w:t>
      </w:r>
      <w:r>
        <w:rPr>
          <w:rFonts w:hint="eastAsia" w:ascii="仿宋_GB2312" w:hAnsi="仿宋_GB2312" w:eastAsia="仿宋_GB2312" w:cs="仿宋_GB2312"/>
          <w:b w:val="0"/>
          <w:bCs/>
          <w:color w:val="auto"/>
          <w:sz w:val="32"/>
          <w:szCs w:val="32"/>
        </w:rPr>
        <w:t>翻转台立牌呈直立状态（字母信息面与场地呈90°），计20分/个。</w:t>
      </w:r>
    </w:p>
    <w:p w14:paraId="0B6DA6FE">
      <w:pPr>
        <w:pStyle w:val="34"/>
        <w:pageBreakBefore w:val="0"/>
        <w:kinsoku/>
        <w:overflowPunct/>
        <w:topLinePunct w:val="0"/>
        <w:autoSpaceDE/>
        <w:autoSpaceDN/>
        <w:bidi w:val="0"/>
        <w:adjustRightInd w:val="0"/>
        <w:snapToGrid w:val="0"/>
        <w:spacing w:line="360" w:lineRule="auto"/>
        <w:ind w:firstLine="0"/>
        <w:textAlignment w:val="auto"/>
        <w:rPr>
          <w:rFonts w:hint="eastAsia" w:ascii="仿宋_GB2312" w:hAnsi="仿宋_GB2312" w:eastAsia="仿宋_GB2312" w:cs="仿宋_GB2312"/>
          <w:color w:val="auto"/>
          <w:sz w:val="32"/>
          <w:szCs w:val="32"/>
          <w:lang w:eastAsia="zh-CN"/>
        </w:rPr>
      </w:pPr>
      <w:r>
        <w:rPr>
          <w:rStyle w:val="64"/>
          <w:rFonts w:hint="eastAsia" w:ascii="仿宋_GB2312" w:hAnsi="仿宋_GB2312" w:eastAsia="仿宋_GB2312" w:cs="仿宋_GB2312"/>
          <w:bCs/>
          <w:color w:val="auto"/>
          <w:sz w:val="32"/>
          <w:szCs w:val="32"/>
        </w:rPr>
        <w:tab/>
      </w:r>
      <w:r>
        <w:rPr>
          <w:rStyle w:val="64"/>
          <w:rFonts w:hint="eastAsia" w:ascii="仿宋_GB2312" w:hAnsi="仿宋_GB2312" w:eastAsia="仿宋_GB2312" w:cs="仿宋_GB2312"/>
          <w:bCs/>
          <w:color w:val="auto"/>
          <w:sz w:val="32"/>
          <w:szCs w:val="32"/>
          <w:lang w:val="en-US" w:eastAsia="zh-CN"/>
        </w:rPr>
        <w:t xml:space="preserve">  </w:t>
      </w:r>
      <w:r>
        <w:rPr>
          <w:rStyle w:val="64"/>
          <w:rFonts w:hint="eastAsia" w:ascii="仿宋_GB2312" w:hAnsi="仿宋_GB2312" w:eastAsia="仿宋_GB2312" w:cs="仿宋_GB2312"/>
          <w:b/>
          <w:bCs w:val="0"/>
          <w:color w:val="auto"/>
          <w:sz w:val="32"/>
          <w:szCs w:val="32"/>
        </w:rPr>
        <w:t>得分判定：</w:t>
      </w:r>
      <w:r>
        <w:rPr>
          <w:rFonts w:hint="eastAsia" w:ascii="仿宋_GB2312" w:hAnsi="仿宋_GB2312" w:eastAsia="仿宋_GB2312" w:cs="仿宋_GB2312"/>
          <w:color w:val="auto"/>
          <w:sz w:val="32"/>
          <w:szCs w:val="32"/>
        </w:rPr>
        <w:t>自动控制阶段结束后的计分时刻</w:t>
      </w:r>
      <w:r>
        <w:rPr>
          <w:rFonts w:hint="eastAsia" w:ascii="仿宋_GB2312" w:hAnsi="仿宋_GB2312" w:eastAsia="仿宋_GB2312" w:cs="仿宋_GB2312"/>
          <w:color w:val="auto"/>
          <w:sz w:val="32"/>
          <w:szCs w:val="32"/>
          <w:lang w:eastAsia="zh-CN"/>
        </w:rPr>
        <w:t>；</w:t>
      </w:r>
    </w:p>
    <w:p w14:paraId="1A71E8E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a.黄色方块的垂直投影完全置于翻转台下方阴影区域内；</w:t>
      </w:r>
    </w:p>
    <w:p w14:paraId="33F46AC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rPr>
        <w:t>b.二层的黄色资源块与立牌底面有直接接触</w:t>
      </w:r>
      <w:r>
        <w:rPr>
          <w:rFonts w:hint="eastAsia" w:ascii="仿宋_GB2312" w:hAnsi="仿宋_GB2312" w:eastAsia="仿宋_GB2312" w:cs="仿宋_GB2312"/>
          <w:color w:val="auto"/>
          <w:sz w:val="32"/>
          <w:szCs w:val="32"/>
          <w:lang w:eastAsia="zh-CN"/>
        </w:rPr>
        <w:t>；</w:t>
      </w:r>
    </w:p>
    <w:p w14:paraId="1F009354">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c.</w:t>
      </w:r>
      <w:r>
        <w:rPr>
          <w:rFonts w:hint="eastAsia" w:ascii="仿宋_GB2312" w:hAnsi="仿宋_GB2312" w:eastAsia="仿宋_GB2312" w:cs="仿宋_GB2312"/>
          <w:bCs/>
          <w:color w:val="auto"/>
          <w:sz w:val="32"/>
          <w:szCs w:val="32"/>
        </w:rPr>
        <w:t>立牌呈直立状态（</w:t>
      </w:r>
      <w:r>
        <w:rPr>
          <w:rFonts w:hint="eastAsia" w:ascii="仿宋_GB2312" w:hAnsi="仿宋_GB2312" w:eastAsia="仿宋_GB2312" w:cs="仿宋_GB2312"/>
          <w:b w:val="0"/>
          <w:bCs w:val="0"/>
          <w:color w:val="auto"/>
          <w:sz w:val="32"/>
          <w:szCs w:val="32"/>
        </w:rPr>
        <w:t>字母</w:t>
      </w:r>
      <w:r>
        <w:rPr>
          <w:rFonts w:hint="eastAsia" w:ascii="仿宋_GB2312" w:hAnsi="仿宋_GB2312" w:eastAsia="仿宋_GB2312" w:cs="仿宋_GB2312"/>
          <w:bCs/>
          <w:color w:val="auto"/>
          <w:sz w:val="32"/>
          <w:szCs w:val="32"/>
        </w:rPr>
        <w:t>信息面与场地呈90°</w:t>
      </w:r>
      <w:r>
        <w:rPr>
          <w:rFonts w:hint="eastAsia" w:ascii="仿宋_GB2312" w:hAnsi="仿宋_GB2312" w:eastAsia="仿宋_GB2312" w:cs="仿宋_GB2312"/>
          <w:b w:val="0"/>
          <w:bCs w:val="0"/>
          <w:color w:val="auto"/>
          <w:sz w:val="32"/>
          <w:szCs w:val="32"/>
        </w:rPr>
        <w:t>）</w:t>
      </w:r>
      <w:r>
        <w:rPr>
          <w:rFonts w:hint="eastAsia" w:ascii="仿宋_GB2312" w:hAnsi="仿宋_GB2312" w:eastAsia="仿宋_GB2312" w:cs="仿宋_GB2312"/>
          <w:b w:val="0"/>
          <w:bCs w:val="0"/>
          <w:color w:val="auto"/>
          <w:sz w:val="32"/>
          <w:szCs w:val="32"/>
          <w:lang w:eastAsia="zh-CN"/>
        </w:rPr>
        <w:t>；</w:t>
      </w:r>
      <w:r>
        <w:rPr>
          <w:rFonts w:hint="eastAsia" w:ascii="仿宋_GB2312" w:hAnsi="仿宋_GB2312" w:eastAsia="仿宋_GB2312" w:cs="仿宋_GB2312"/>
          <w:color w:val="auto"/>
          <w:sz w:val="32"/>
          <w:szCs w:val="32"/>
        </w:rPr>
        <w:t xml:space="preserve"> </w:t>
      </w:r>
    </w:p>
    <w:p w14:paraId="1644A2D5">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kern w:val="0"/>
          <w:sz w:val="32"/>
          <w:szCs w:val="32"/>
        </w:rPr>
        <w:t>d.</w:t>
      </w:r>
      <w:r>
        <w:rPr>
          <w:rFonts w:hint="eastAsia" w:ascii="仿宋_GB2312" w:hAnsi="仿宋_GB2312" w:eastAsia="仿宋_GB2312" w:cs="仿宋_GB2312"/>
          <w:color w:val="auto"/>
          <w:sz w:val="32"/>
          <w:szCs w:val="32"/>
        </w:rPr>
        <w:t>亚克力翻转台装置与机器人没有直接接触</w:t>
      </w:r>
      <w:r>
        <w:rPr>
          <w:rFonts w:hint="eastAsia" w:ascii="仿宋_GB2312" w:hAnsi="仿宋_GB2312" w:eastAsia="仿宋_GB2312" w:cs="仿宋_GB2312"/>
          <w:color w:val="auto"/>
          <w:sz w:val="32"/>
          <w:szCs w:val="32"/>
          <w:lang w:eastAsia="zh-CN"/>
        </w:rPr>
        <w:t>；</w:t>
      </w:r>
    </w:p>
    <w:p w14:paraId="26F2861F">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以上判定均满足，则对应的立牌得分。</w:t>
      </w:r>
    </w:p>
    <w:p w14:paraId="12D00CE5">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注意：</w:t>
      </w:r>
      <w:r>
        <w:rPr>
          <w:rFonts w:hint="eastAsia" w:ascii="仿宋_GB2312" w:hAnsi="仿宋_GB2312" w:eastAsia="仿宋_GB2312" w:cs="仿宋_GB2312"/>
          <w:sz w:val="32"/>
          <w:szCs w:val="32"/>
        </w:rPr>
        <w:t>观察手仅可在手动装载区内接触方块，但不得手动将方块放置在机器人上；观察手在手动装载区不可直接或间接接触机器人。</w:t>
      </w:r>
    </w:p>
    <w:p w14:paraId="3FB2BE57">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b/>
          <w:bCs/>
          <w:color w:val="auto"/>
          <w:sz w:val="32"/>
          <w:szCs w:val="32"/>
        </w:rPr>
      </w:pPr>
      <w:r>
        <w:rPr>
          <w:rFonts w:hint="eastAsia" w:ascii="仿宋_GB2312" w:hAnsi="仿宋_GB2312" w:eastAsia="仿宋_GB2312" w:cs="仿宋_GB2312"/>
          <w:color w:val="auto"/>
          <w:sz w:val="32"/>
          <w:szCs w:val="32"/>
        </w:rPr>
        <w:drawing>
          <wp:inline distT="0" distB="0" distL="114300" distR="114300">
            <wp:extent cx="4071620" cy="1637030"/>
            <wp:effectExtent l="0" t="0" r="5080" b="1270"/>
            <wp:docPr id="3264818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481890" name="图片 1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071620" cy="1637030"/>
                    </a:xfrm>
                    <a:prstGeom prst="rect">
                      <a:avLst/>
                    </a:prstGeom>
                  </pic:spPr>
                </pic:pic>
              </a:graphicData>
            </a:graphic>
          </wp:inline>
        </w:drawing>
      </w:r>
    </w:p>
    <w:p w14:paraId="0D64195C">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FF0000"/>
          <w:sz w:val="28"/>
          <w:szCs w:val="28"/>
        </w:rPr>
      </w:pPr>
      <w:bookmarkStart w:id="20" w:name="_Hlk155446615"/>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13 M07任务得分示意图</w:t>
      </w:r>
    </w:p>
    <w:bookmarkEnd w:id="20"/>
    <w:p w14:paraId="64F29D06">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4387882A">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M08 X信号发射</w:t>
      </w:r>
    </w:p>
    <w:p w14:paraId="3F2CDC09">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sz w:val="32"/>
          <w:szCs w:val="32"/>
        </w:rPr>
        <w:t>任务类型：</w:t>
      </w:r>
      <w:r>
        <w:rPr>
          <w:rFonts w:hint="eastAsia" w:ascii="仿宋_GB2312" w:hAnsi="仿宋_GB2312" w:eastAsia="仿宋_GB2312" w:cs="仿宋_GB2312"/>
          <w:color w:val="auto"/>
          <w:sz w:val="32"/>
          <w:szCs w:val="32"/>
        </w:rPr>
        <w:t>联盟任务</w:t>
      </w:r>
    </w:p>
    <w:p w14:paraId="1CFEAEFE">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sz w:val="32"/>
          <w:szCs w:val="32"/>
        </w:rPr>
        <w:t>任务内容：</w:t>
      </w:r>
      <w:r>
        <w:rPr>
          <w:rFonts w:hint="eastAsia" w:ascii="仿宋_GB2312" w:hAnsi="仿宋_GB2312" w:eastAsia="仿宋_GB2312" w:cs="仿宋_GB2312"/>
          <w:color w:val="auto"/>
          <w:sz w:val="32"/>
          <w:szCs w:val="32"/>
        </w:rPr>
        <w:t>机器人完成最终的信号发射任务，象征信息从源头传向全网络的过程。通过各环节的协作与操作，分散的资源和数据被整合、激活并传递，实现全局互联。</w:t>
      </w:r>
    </w:p>
    <w:p w14:paraId="5FAF9043">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sz w:val="32"/>
          <w:szCs w:val="32"/>
        </w:rPr>
        <w:t>初始状态：</w:t>
      </w:r>
      <w:r>
        <w:rPr>
          <w:rFonts w:hint="eastAsia" w:ascii="仿宋_GB2312" w:hAnsi="仿宋_GB2312" w:eastAsia="仿宋_GB2312" w:cs="仿宋_GB2312"/>
          <w:color w:val="auto"/>
          <w:sz w:val="32"/>
          <w:szCs w:val="32"/>
        </w:rPr>
        <w:t>比赛开始前，选手将战队标记物放置在手动装载区内，具体位置由选手自行决定，战队标记物为选手自制道具(战队标记物的制作尺寸要求详见4.2战队标记物自制规范）。</w:t>
      </w:r>
    </w:p>
    <w:p w14:paraId="677D2E2B">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sz w:val="32"/>
          <w:szCs w:val="32"/>
        </w:rPr>
        <w:drawing>
          <wp:inline distT="0" distB="0" distL="114300" distR="114300">
            <wp:extent cx="3994785" cy="1665605"/>
            <wp:effectExtent l="0" t="0" r="5715" b="10795"/>
            <wp:docPr id="74" name="Draw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Drawing 43"/>
                    <pic:cNvPicPr>
                      <a:picLocks noChangeAspect="1"/>
                    </pic:cNvPicPr>
                  </pic:nvPicPr>
                  <pic:blipFill>
                    <a:blip r:embed="rId62">
                      <a:extLst>
                        <a:ext uri="{28A0092B-C50C-407E-A947-70E740481C1C}">
                          <a14:useLocalDpi xmlns:a14="http://schemas.microsoft.com/office/drawing/2010/main" val="0"/>
                        </a:ext>
                      </a:extLst>
                    </a:blip>
                    <a:srcRect l="9768" r="9768"/>
                    <a:stretch>
                      <a:fillRect/>
                    </a:stretch>
                  </pic:blipFill>
                  <pic:spPr>
                    <a:xfrm rot="10800000">
                      <a:off x="0" y="0"/>
                      <a:ext cx="3994785" cy="1665605"/>
                    </a:xfrm>
                    <a:prstGeom prst="rect">
                      <a:avLst/>
                    </a:prstGeom>
                    <a:ln>
                      <a:noFill/>
                    </a:ln>
                  </pic:spPr>
                </pic:pic>
              </a:graphicData>
            </a:graphic>
          </wp:inline>
        </w:drawing>
      </w:r>
    </w:p>
    <w:p w14:paraId="4D9041F2">
      <w:pPr>
        <w:pStyle w:val="34"/>
        <w:pageBreakBefore w:val="0"/>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-14 M08任务初始位置示意图</w:t>
      </w:r>
    </w:p>
    <w:p w14:paraId="5ADFA87A">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bookmarkStart w:id="21" w:name="_Hlk80289092"/>
      <w:r>
        <w:rPr>
          <w:rFonts w:hint="eastAsia" w:ascii="仿宋_GB2312" w:hAnsi="仿宋_GB2312" w:eastAsia="仿宋_GB2312" w:cs="仿宋_GB2312"/>
          <w:b/>
          <w:sz w:val="32"/>
          <w:szCs w:val="32"/>
        </w:rPr>
        <w:t>任务得分：</w:t>
      </w:r>
      <w:r>
        <w:rPr>
          <w:rFonts w:hint="eastAsia" w:ascii="仿宋_GB2312" w:hAnsi="仿宋_GB2312" w:eastAsia="仿宋_GB2312" w:cs="仿宋_GB2312"/>
          <w:sz w:val="32"/>
          <w:szCs w:val="32"/>
        </w:rPr>
        <w:t>每成功升起一个X信号塔，计30分/个；成功将M06翻转台全部翻转且2个X信号塔都成功升起，则额外获得100分。</w:t>
      </w:r>
    </w:p>
    <w:bookmarkEnd w:id="21"/>
    <w:p w14:paraId="0079BEDA">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b/>
          <w:sz w:val="32"/>
          <w:szCs w:val="32"/>
        </w:rPr>
        <w:t>得分判定：</w:t>
      </w:r>
      <w:r>
        <w:rPr>
          <w:rFonts w:hint="eastAsia" w:ascii="仿宋_GB2312" w:hAnsi="仿宋_GB2312" w:eastAsia="仿宋_GB2312" w:cs="仿宋_GB2312"/>
          <w:sz w:val="32"/>
          <w:szCs w:val="32"/>
        </w:rPr>
        <w:t>手动控</w:t>
      </w:r>
      <w:r>
        <w:rPr>
          <w:rFonts w:hint="eastAsia" w:ascii="仿宋_GB2312" w:hAnsi="仿宋_GB2312" w:eastAsia="仿宋_GB2312" w:cs="仿宋_GB2312"/>
          <w:color w:val="auto"/>
          <w:sz w:val="32"/>
          <w:szCs w:val="32"/>
        </w:rPr>
        <w:t>制阶段结束后的计分时刻</w:t>
      </w:r>
    </w:p>
    <w:p w14:paraId="5C120AD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a.X信标升降至最高处；</w:t>
      </w:r>
    </w:p>
    <w:p w14:paraId="2BE07C7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color w:val="auto"/>
          <w:sz w:val="32"/>
          <w:szCs w:val="32"/>
        </w:rPr>
        <w:t>b.战队自制标记物垂直投影部分在</w:t>
      </w:r>
      <w:r>
        <w:rPr>
          <w:rFonts w:hint="eastAsia" w:ascii="仿宋_GB2312" w:hAnsi="仿宋_GB2312" w:eastAsia="仿宋_GB2312" w:cs="仿宋_GB2312"/>
          <w:sz w:val="32"/>
          <w:szCs w:val="32"/>
        </w:rPr>
        <w:t>X信号塔平台处；</w:t>
      </w:r>
    </w:p>
    <w:p w14:paraId="38DC72E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c.X信号塔和机器人无直接接触；</w:t>
      </w:r>
    </w:p>
    <w:p w14:paraId="0ED8F45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以上判定均满足，则对应X信号塔得分。</w:t>
      </w:r>
    </w:p>
    <w:p w14:paraId="4CF76FB3">
      <w:pPr>
        <w:pStyle w:val="34"/>
        <w:pageBreakBefore w:val="0"/>
        <w:kinsoku/>
        <w:overflowPunct/>
        <w:topLinePunct w:val="0"/>
        <w:autoSpaceDE/>
        <w:autoSpaceDN/>
        <w:bidi w:val="0"/>
        <w:adjustRightInd w:val="0"/>
        <w:snapToGrid w:val="0"/>
        <w:spacing w:line="360" w:lineRule="auto"/>
        <w:textAlignment w:val="auto"/>
        <w:rPr>
          <w:rStyle w:val="64"/>
          <w:rFonts w:hint="eastAsia" w:ascii="仿宋_GB2312" w:hAnsi="仿宋_GB2312" w:eastAsia="仿宋_GB2312" w:cs="仿宋_GB2312"/>
          <w:b w:val="0"/>
          <w:bCs w:val="0"/>
          <w:color w:val="auto"/>
          <w:sz w:val="32"/>
          <w:szCs w:val="32"/>
        </w:rPr>
      </w:pPr>
      <w:r>
        <w:rPr>
          <w:rFonts w:hint="eastAsia" w:ascii="仿宋_GB2312" w:hAnsi="仿宋_GB2312" w:eastAsia="仿宋_GB2312" w:cs="仿宋_GB2312"/>
          <w:b/>
          <w:bCs/>
          <w:color w:val="auto"/>
          <w:sz w:val="32"/>
          <w:szCs w:val="32"/>
        </w:rPr>
        <w:t>注</w:t>
      </w:r>
      <w:r>
        <w:rPr>
          <w:rFonts w:hint="eastAsia" w:ascii="仿宋_GB2312" w:hAnsi="仿宋_GB2312" w:eastAsia="仿宋_GB2312" w:cs="仿宋_GB2312"/>
          <w:b/>
          <w:bCs/>
          <w:color w:val="auto"/>
          <w:sz w:val="32"/>
          <w:szCs w:val="32"/>
          <w:lang w:eastAsia="zh-CN"/>
        </w:rPr>
        <w:t>意</w:t>
      </w:r>
      <w:r>
        <w:rPr>
          <w:rFonts w:hint="eastAsia" w:ascii="仿宋_GB2312" w:hAnsi="仿宋_GB2312" w:eastAsia="仿宋_GB2312" w:cs="仿宋_GB2312"/>
          <w:b/>
          <w:bCs/>
          <w:color w:val="auto"/>
          <w:sz w:val="32"/>
          <w:szCs w:val="32"/>
        </w:rPr>
        <w:t>：</w:t>
      </w:r>
      <w:r>
        <w:rPr>
          <w:rFonts w:hint="eastAsia" w:ascii="仿宋_GB2312" w:hAnsi="仿宋_GB2312" w:eastAsia="仿宋_GB2312" w:cs="仿宋_GB2312"/>
          <w:b w:val="0"/>
          <w:bCs w:val="0"/>
          <w:color w:val="auto"/>
          <w:sz w:val="32"/>
          <w:szCs w:val="32"/>
        </w:rPr>
        <w:t>战队标记物不允许直接或</w:t>
      </w:r>
      <w:r>
        <w:rPr>
          <w:rStyle w:val="64"/>
          <w:rFonts w:hint="eastAsia" w:ascii="仿宋_GB2312" w:hAnsi="仿宋_GB2312" w:eastAsia="仿宋_GB2312" w:cs="仿宋_GB2312"/>
          <w:b w:val="0"/>
          <w:bCs w:val="0"/>
          <w:color w:val="auto"/>
          <w:sz w:val="32"/>
          <w:szCs w:val="32"/>
        </w:rPr>
        <w:t>间接接触。</w:t>
      </w:r>
    </w:p>
    <w:p w14:paraId="22684579">
      <w:pPr>
        <w:pStyle w:val="34"/>
        <w:pageBreakBefore w:val="0"/>
        <w:kinsoku/>
        <w:overflowPunct/>
        <w:topLinePunct w:val="0"/>
        <w:autoSpaceDE/>
        <w:autoSpaceDN/>
        <w:bidi w:val="0"/>
        <w:adjustRightInd w:val="0"/>
        <w:snapToGrid w:val="0"/>
        <w:spacing w:line="360" w:lineRule="auto"/>
        <w:textAlignment w:val="auto"/>
        <w:rPr>
          <w:rStyle w:val="64"/>
          <w:rFonts w:hint="eastAsia" w:ascii="仿宋_GB2312" w:hAnsi="仿宋_GB2312" w:eastAsia="仿宋_GB2312" w:cs="仿宋_GB2312"/>
          <w:b w:val="0"/>
          <w:bCs w:val="0"/>
          <w:color w:val="auto"/>
          <w:sz w:val="32"/>
          <w:szCs w:val="32"/>
        </w:rPr>
      </w:pPr>
    </w:p>
    <w:p w14:paraId="2F087B64">
      <w:pPr>
        <w:pStyle w:val="34"/>
        <w:pageBreakBefore w:val="0"/>
        <w:kinsoku/>
        <w:overflowPunct/>
        <w:topLinePunct w:val="0"/>
        <w:autoSpaceDE/>
        <w:autoSpaceDN/>
        <w:bidi w:val="0"/>
        <w:adjustRightInd w:val="0"/>
        <w:snapToGrid w:val="0"/>
        <w:spacing w:line="360" w:lineRule="auto"/>
        <w:ind w:left="0" w:leftChars="0" w:firstLine="0" w:firstLineChars="0"/>
        <w:jc w:val="center"/>
        <w:textAlignment w:val="auto"/>
        <w:rPr>
          <w:rFonts w:hint="eastAsia" w:ascii="仿宋_GB2312" w:hAnsi="仿宋_GB2312" w:eastAsia="仿宋_GB2312" w:cs="仿宋_GB2312"/>
          <w:b/>
          <w:bCs/>
          <w:color w:val="auto"/>
          <w:sz w:val="32"/>
          <w:szCs w:val="32"/>
        </w:rPr>
      </w:pPr>
      <w:r>
        <w:rPr>
          <w:rFonts w:hint="eastAsia" w:ascii="仿宋_GB2312" w:hAnsi="仿宋_GB2312" w:eastAsia="仿宋_GB2312" w:cs="仿宋_GB2312"/>
          <w:sz w:val="32"/>
          <w:szCs w:val="32"/>
        </w:rPr>
        <w:drawing>
          <wp:inline distT="0" distB="0" distL="114300" distR="114300">
            <wp:extent cx="2553335" cy="3355975"/>
            <wp:effectExtent l="0" t="0" r="18415" b="15875"/>
            <wp:docPr id="1873020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2019" name="图片 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53335" cy="3355975"/>
                    </a:xfrm>
                    <a:prstGeom prst="rect">
                      <a:avLst/>
                    </a:prstGeom>
                  </pic:spPr>
                </pic:pic>
              </a:graphicData>
            </a:graphic>
          </wp:inline>
        </w:drawing>
      </w:r>
    </w:p>
    <w:p w14:paraId="7B67247F">
      <w:pPr>
        <w:pStyle w:val="34"/>
        <w:pageBreakBefore w:val="0"/>
        <w:kinsoku/>
        <w:overflowPunct/>
        <w:topLinePunct w:val="0"/>
        <w:autoSpaceDE/>
        <w:autoSpaceDN/>
        <w:bidi w:val="0"/>
        <w:adjustRightInd w:val="0"/>
        <w:snapToGrid w:val="0"/>
        <w:spacing w:line="360" w:lineRule="auto"/>
        <w:jc w:val="center"/>
        <w:textAlignment w:val="auto"/>
        <w:rPr>
          <w:rStyle w:val="64"/>
          <w:rFonts w:hint="eastAsia" w:ascii="仿宋_GB2312" w:hAnsi="仿宋_GB2312" w:eastAsia="仿宋_GB2312" w:cs="仿宋_GB2312"/>
          <w:bCs/>
          <w:color w:val="auto"/>
          <w:sz w:val="28"/>
          <w:szCs w:val="28"/>
        </w:rPr>
      </w:pPr>
      <w:r>
        <w:rPr>
          <w:rFonts w:hint="eastAsia" w:ascii="仿宋_GB2312" w:hAnsi="仿宋_GB2312" w:eastAsia="仿宋_GB2312" w:cs="仿宋_GB2312"/>
          <w:bCs/>
          <w:color w:val="auto"/>
          <w:sz w:val="28"/>
          <w:szCs w:val="28"/>
        </w:rPr>
        <w:t>图</w:t>
      </w:r>
      <w:r>
        <w:rPr>
          <w:rFonts w:hint="eastAsia" w:ascii="仿宋_GB2312" w:hAnsi="仿宋_GB2312" w:eastAsia="仿宋_GB2312" w:cs="仿宋_GB2312"/>
          <w:bCs/>
          <w:color w:val="auto"/>
          <w:sz w:val="28"/>
          <w:szCs w:val="28"/>
          <w:lang w:val="en-US" w:eastAsia="zh-CN"/>
        </w:rPr>
        <w:t>6.3</w:t>
      </w:r>
      <w:r>
        <w:rPr>
          <w:rFonts w:hint="eastAsia" w:ascii="仿宋_GB2312" w:hAnsi="仿宋_GB2312" w:eastAsia="仿宋_GB2312" w:cs="仿宋_GB2312"/>
          <w:bCs/>
          <w:color w:val="auto"/>
          <w:sz w:val="28"/>
          <w:szCs w:val="28"/>
        </w:rPr>
        <w:t>-15 M08任务得分示意图</w:t>
      </w:r>
    </w:p>
    <w:p w14:paraId="010EC5B1">
      <w:pPr>
        <w:pStyle w:val="34"/>
        <w:pageBreakBefore w:val="0"/>
        <w:kinsoku/>
        <w:overflowPunct/>
        <w:topLinePunct w:val="0"/>
        <w:autoSpaceDE/>
        <w:autoSpaceDN/>
        <w:bidi w:val="0"/>
        <w:adjustRightInd w:val="0"/>
        <w:snapToGrid w:val="0"/>
        <w:spacing w:line="360" w:lineRule="auto"/>
        <w:ind w:left="0" w:leftChars="0" w:firstLine="0" w:firstLineChars="0"/>
        <w:textAlignment w:val="auto"/>
        <w:rPr>
          <w:rFonts w:hint="eastAsia" w:ascii="仿宋_GB2312" w:hAnsi="仿宋_GB2312" w:eastAsia="仿宋_GB2312" w:cs="仿宋_GB2312"/>
          <w:sz w:val="32"/>
          <w:szCs w:val="32"/>
          <w:lang w:val="en-US" w:eastAsia="zh-CN"/>
        </w:rPr>
      </w:pPr>
    </w:p>
    <w:p w14:paraId="226D12A5">
      <w:pPr>
        <w:pStyle w:val="34"/>
        <w:pageBreakBefore w:val="0"/>
        <w:kinsoku/>
        <w:overflowPunct/>
        <w:topLinePunct w:val="0"/>
        <w:autoSpaceDE/>
        <w:autoSpaceDN/>
        <w:bidi w:val="0"/>
        <w:adjustRightInd w:val="0"/>
        <w:snapToGrid w:val="0"/>
        <w:spacing w:line="360" w:lineRule="auto"/>
        <w:ind w:left="0" w:leftChars="0" w:firstLine="0" w:firstLineChars="0"/>
        <w:textAlignment w:val="auto"/>
        <w:rPr>
          <w:rFonts w:hint="eastAsia" w:ascii="仿宋_GB2312" w:hAnsi="仿宋_GB2312" w:eastAsia="仿宋_GB2312" w:cs="仿宋_GB2312"/>
          <w:sz w:val="32"/>
          <w:szCs w:val="32"/>
          <w:lang w:val="en-US" w:eastAsia="zh-CN"/>
        </w:rPr>
      </w:pPr>
    </w:p>
    <w:p w14:paraId="2CC41665">
      <w:pPr>
        <w:pStyle w:val="34"/>
        <w:pageBreakBefore w:val="0"/>
        <w:kinsoku/>
        <w:overflowPunct/>
        <w:topLinePunct w:val="0"/>
        <w:autoSpaceDE/>
        <w:autoSpaceDN/>
        <w:bidi w:val="0"/>
        <w:adjustRightInd w:val="0"/>
        <w:snapToGrid w:val="0"/>
        <w:spacing w:line="360" w:lineRule="auto"/>
        <w:ind w:left="0" w:leftChars="0" w:firstLine="0" w:firstLineChars="0"/>
        <w:textAlignment w:val="auto"/>
        <w:rPr>
          <w:rFonts w:hint="eastAsia" w:ascii="仿宋_GB2312" w:hAnsi="仿宋_GB2312" w:eastAsia="仿宋_GB2312" w:cs="仿宋_GB2312"/>
          <w:sz w:val="32"/>
          <w:szCs w:val="32"/>
          <w:lang w:val="en-US" w:eastAsia="zh-CN"/>
        </w:rPr>
      </w:pPr>
    </w:p>
    <w:p w14:paraId="2A321152">
      <w:pPr>
        <w:pStyle w:val="34"/>
        <w:pageBreakBefore w:val="0"/>
        <w:kinsoku/>
        <w:overflowPunct/>
        <w:topLinePunct w:val="0"/>
        <w:autoSpaceDE/>
        <w:autoSpaceDN/>
        <w:bidi w:val="0"/>
        <w:adjustRightInd w:val="0"/>
        <w:snapToGrid w:val="0"/>
        <w:spacing w:line="360" w:lineRule="auto"/>
        <w:ind w:left="0" w:leftChars="0" w:firstLine="0" w:firstLineChars="0"/>
        <w:textAlignment w:val="auto"/>
        <w:rPr>
          <w:rFonts w:hint="eastAsia" w:ascii="仿宋_GB2312" w:hAnsi="仿宋_GB2312" w:eastAsia="仿宋_GB2312" w:cs="仿宋_GB2312"/>
          <w:sz w:val="32"/>
          <w:szCs w:val="32"/>
          <w:lang w:val="en-US" w:eastAsia="zh-CN"/>
        </w:rPr>
      </w:pPr>
    </w:p>
    <w:p w14:paraId="60280476">
      <w:pPr>
        <w:pStyle w:val="34"/>
        <w:pageBreakBefore w:val="0"/>
        <w:kinsoku/>
        <w:overflowPunct/>
        <w:topLinePunct w:val="0"/>
        <w:autoSpaceDE/>
        <w:autoSpaceDN/>
        <w:bidi w:val="0"/>
        <w:adjustRightInd w:val="0"/>
        <w:snapToGrid w:val="0"/>
        <w:spacing w:line="360" w:lineRule="auto"/>
        <w:ind w:left="0" w:leftChars="0" w:firstLine="0" w:firstLineChars="0"/>
        <w:textAlignment w:val="auto"/>
        <w:rPr>
          <w:rFonts w:hint="eastAsia" w:ascii="仿宋_GB2312" w:hAnsi="仿宋_GB2312" w:eastAsia="仿宋_GB2312" w:cs="仿宋_GB2312"/>
          <w:sz w:val="32"/>
          <w:szCs w:val="32"/>
          <w:lang w:val="en-US" w:eastAsia="zh-CN"/>
        </w:rPr>
      </w:pPr>
    </w:p>
    <w:p w14:paraId="71476B64">
      <w:pPr>
        <w:pStyle w:val="34"/>
        <w:pageBreakBefore w:val="0"/>
        <w:kinsoku/>
        <w:overflowPunct/>
        <w:topLinePunct w:val="0"/>
        <w:autoSpaceDE/>
        <w:autoSpaceDN/>
        <w:bidi w:val="0"/>
        <w:adjustRightInd w:val="0"/>
        <w:snapToGrid w:val="0"/>
        <w:spacing w:line="360" w:lineRule="auto"/>
        <w:ind w:left="0" w:leftChars="0" w:firstLine="0" w:firstLineChars="0"/>
        <w:textAlignment w:val="auto"/>
        <w:rPr>
          <w:rFonts w:hint="eastAsia" w:ascii="仿宋_GB2312" w:hAnsi="仿宋_GB2312" w:eastAsia="仿宋_GB2312" w:cs="仿宋_GB2312"/>
          <w:sz w:val="32"/>
          <w:szCs w:val="32"/>
          <w:lang w:val="en-US" w:eastAsia="zh-CN"/>
        </w:rPr>
      </w:pPr>
    </w:p>
    <w:p w14:paraId="38079E03">
      <w:pPr>
        <w:pStyle w:val="37"/>
        <w:pageBreakBefore w:val="0"/>
        <w:numPr>
          <w:ilvl w:val="1"/>
          <w:numId w:val="12"/>
        </w:numPr>
        <w:kinsoku/>
        <w:overflowPunct/>
        <w:topLinePunct w:val="0"/>
        <w:autoSpaceDE/>
        <w:autoSpaceDN/>
        <w:bidi w:val="0"/>
        <w:adjustRightInd w:val="0"/>
        <w:snapToGrid w:val="0"/>
        <w:spacing w:line="360" w:lineRule="auto"/>
        <w:ind w:left="567" w:leftChars="0" w:hanging="567" w:firstLineChars="0"/>
        <w:textAlignment w:val="auto"/>
        <w:rPr>
          <w:rFonts w:hint="eastAsia" w:ascii="仿宋_GB2312" w:hAnsi="仿宋_GB2312" w:eastAsia="仿宋_GB2312" w:cs="仿宋_GB2312"/>
          <w:sz w:val="36"/>
          <w:szCs w:val="36"/>
        </w:rPr>
      </w:pPr>
      <w:bookmarkStart w:id="22" w:name="_Toc23434"/>
      <w:r>
        <w:rPr>
          <w:rFonts w:hint="eastAsia" w:ascii="仿宋_GB2312" w:hAnsi="仿宋_GB2312" w:eastAsia="仿宋_GB2312" w:cs="仿宋_GB2312"/>
          <w:sz w:val="36"/>
          <w:szCs w:val="36"/>
        </w:rPr>
        <w:t>计分说明</w:t>
      </w:r>
      <w:bookmarkEnd w:id="22"/>
    </w:p>
    <w:p w14:paraId="408817DB">
      <w:pPr>
        <w:pStyle w:val="67"/>
        <w:pageBreakBefore w:val="0"/>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color w:val="000000" w:themeColor="text1"/>
          <w:kern w:val="0"/>
          <w:sz w:val="32"/>
          <w:szCs w:val="32"/>
          <w:lang w:bidi="ar"/>
          <w14:textFill>
            <w14:solidFill>
              <w14:schemeClr w14:val="tx1"/>
            </w14:solidFill>
          </w14:textFill>
        </w:rPr>
        <w:t>全场比赛中，裁判只在两个计分时刻进行计分，分别是自动控制阶段结束后和手动控制阶段结束后。在比赛过程中，裁判会实时监控比赛进程，记录违例的情况。</w:t>
      </w:r>
    </w:p>
    <w:p w14:paraId="5BDA6D0A">
      <w:pPr>
        <w:pStyle w:val="67"/>
        <w:pageBreakBefore w:val="0"/>
        <w:kinsoku/>
        <w:overflowPunct/>
        <w:topLinePunct w:val="0"/>
        <w:autoSpaceDE/>
        <w:autoSpaceDN/>
        <w:bidi w:val="0"/>
        <w:adjustRightInd w:val="0"/>
        <w:snapToGrid w:val="0"/>
        <w:spacing w:after="156" w:after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独立任务得分</w:t>
      </w:r>
    </w:p>
    <w:tbl>
      <w:tblPr>
        <w:tblStyle w:val="21"/>
        <w:tblW w:w="9072" w:type="dxa"/>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161"/>
        <w:gridCol w:w="2803"/>
        <w:gridCol w:w="2109"/>
        <w:gridCol w:w="1999"/>
      </w:tblGrid>
      <w:tr w14:paraId="2D2318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161" w:type="dxa"/>
            <w:vAlign w:val="center"/>
          </w:tcPr>
          <w:p w14:paraId="072EA40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比赛任务</w:t>
            </w:r>
          </w:p>
        </w:tc>
        <w:tc>
          <w:tcPr>
            <w:tcW w:w="2803" w:type="dxa"/>
            <w:vAlign w:val="center"/>
          </w:tcPr>
          <w:p w14:paraId="2357E229">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得分道具</w:t>
            </w:r>
          </w:p>
        </w:tc>
        <w:tc>
          <w:tcPr>
            <w:tcW w:w="2109" w:type="dxa"/>
            <w:vAlign w:val="center"/>
          </w:tcPr>
          <w:p w14:paraId="7D8C002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单个道具得分</w:t>
            </w:r>
          </w:p>
        </w:tc>
        <w:tc>
          <w:tcPr>
            <w:tcW w:w="1999" w:type="dxa"/>
            <w:vAlign w:val="center"/>
          </w:tcPr>
          <w:p w14:paraId="7EEEE062">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理论最高分值</w:t>
            </w:r>
          </w:p>
        </w:tc>
      </w:tr>
      <w:tr w14:paraId="476AE7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161" w:type="dxa"/>
            <w:shd w:val="clear" w:color="auto" w:fill="FFFFFF"/>
            <w:vAlign w:val="center"/>
          </w:tcPr>
          <w:p w14:paraId="366F9495">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sz w:val="22"/>
                <w:szCs w:val="22"/>
              </w:rPr>
            </w:pPr>
            <w:r>
              <w:rPr>
                <w:rFonts w:hint="eastAsia" w:ascii="仿宋_GB2312" w:hAnsi="仿宋_GB2312" w:eastAsia="仿宋_GB2312" w:cs="仿宋_GB2312"/>
                <w:color w:val="auto"/>
                <w:sz w:val="22"/>
                <w:szCs w:val="22"/>
              </w:rPr>
              <w:t>M01 信号激活</w:t>
            </w:r>
          </w:p>
        </w:tc>
        <w:tc>
          <w:tcPr>
            <w:tcW w:w="2803" w:type="dxa"/>
            <w:vAlign w:val="center"/>
          </w:tcPr>
          <w:p w14:paraId="71A3E6CD">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黄色圆柱</w:t>
            </w:r>
          </w:p>
        </w:tc>
        <w:tc>
          <w:tcPr>
            <w:tcW w:w="2109" w:type="dxa"/>
            <w:vAlign w:val="center"/>
          </w:tcPr>
          <w:p w14:paraId="37DA3C09">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20分/个</w:t>
            </w:r>
          </w:p>
        </w:tc>
        <w:tc>
          <w:tcPr>
            <w:tcW w:w="1999" w:type="dxa"/>
            <w:vAlign w:val="center"/>
          </w:tcPr>
          <w:p w14:paraId="4A3DFEF5">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w:t>
            </w:r>
          </w:p>
        </w:tc>
      </w:tr>
      <w:tr w14:paraId="0B1705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161" w:type="dxa"/>
            <w:vAlign w:val="center"/>
          </w:tcPr>
          <w:p w14:paraId="6B30B213">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sz w:val="22"/>
                <w:szCs w:val="22"/>
              </w:rPr>
            </w:pPr>
            <w:r>
              <w:rPr>
                <w:rFonts w:hint="eastAsia" w:ascii="仿宋_GB2312" w:hAnsi="仿宋_GB2312" w:eastAsia="仿宋_GB2312" w:cs="仿宋_GB2312"/>
                <w:color w:val="auto"/>
                <w:sz w:val="22"/>
                <w:szCs w:val="22"/>
              </w:rPr>
              <w:t>M02 信号解码</w:t>
            </w:r>
          </w:p>
        </w:tc>
        <w:tc>
          <w:tcPr>
            <w:tcW w:w="2803" w:type="dxa"/>
            <w:vAlign w:val="center"/>
          </w:tcPr>
          <w:p w14:paraId="462C76B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指针</w:t>
            </w:r>
          </w:p>
        </w:tc>
        <w:tc>
          <w:tcPr>
            <w:tcW w:w="2109" w:type="dxa"/>
            <w:shd w:val="clear" w:color="auto" w:fill="FFFFFF"/>
            <w:vAlign w:val="center"/>
          </w:tcPr>
          <w:p w14:paraId="32D429F8">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20分/个</w:t>
            </w:r>
          </w:p>
        </w:tc>
        <w:tc>
          <w:tcPr>
            <w:tcW w:w="1999" w:type="dxa"/>
            <w:shd w:val="clear" w:color="auto" w:fill="FFFFFF"/>
            <w:vAlign w:val="center"/>
          </w:tcPr>
          <w:p w14:paraId="105AEBDC">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w:t>
            </w:r>
          </w:p>
        </w:tc>
      </w:tr>
      <w:tr w14:paraId="5A4A3D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161" w:type="dxa"/>
            <w:vAlign w:val="center"/>
          </w:tcPr>
          <w:p w14:paraId="0D39054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sz w:val="22"/>
                <w:szCs w:val="22"/>
              </w:rPr>
            </w:pPr>
            <w:r>
              <w:rPr>
                <w:rFonts w:hint="eastAsia" w:ascii="仿宋_GB2312" w:hAnsi="仿宋_GB2312" w:eastAsia="仿宋_GB2312" w:cs="仿宋_GB2312"/>
                <w:color w:val="auto"/>
                <w:sz w:val="22"/>
                <w:szCs w:val="22"/>
              </w:rPr>
              <w:t>M03 能量环链接</w:t>
            </w:r>
          </w:p>
        </w:tc>
        <w:tc>
          <w:tcPr>
            <w:tcW w:w="2803" w:type="dxa"/>
            <w:vAlign w:val="center"/>
          </w:tcPr>
          <w:p w14:paraId="5F8BB82D">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红色/蓝色圆环</w:t>
            </w:r>
          </w:p>
        </w:tc>
        <w:tc>
          <w:tcPr>
            <w:tcW w:w="2109" w:type="dxa"/>
            <w:vAlign w:val="center"/>
          </w:tcPr>
          <w:p w14:paraId="0E25723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30分/个</w:t>
            </w:r>
          </w:p>
        </w:tc>
        <w:tc>
          <w:tcPr>
            <w:tcW w:w="1999" w:type="dxa"/>
            <w:vAlign w:val="center"/>
          </w:tcPr>
          <w:p w14:paraId="4D9B4F9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w:t>
            </w:r>
          </w:p>
        </w:tc>
      </w:tr>
      <w:tr w14:paraId="1FD542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161" w:type="dxa"/>
            <w:vAlign w:val="center"/>
          </w:tcPr>
          <w:p w14:paraId="08B3AF61">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M04数据缓存清理</w:t>
            </w:r>
          </w:p>
          <w:p w14:paraId="6D2A6203">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sz w:val="22"/>
                <w:szCs w:val="22"/>
              </w:rPr>
            </w:pPr>
            <w:r>
              <w:rPr>
                <w:rFonts w:hint="eastAsia" w:ascii="仿宋_GB2312" w:hAnsi="仿宋_GB2312" w:eastAsia="仿宋_GB2312" w:cs="仿宋_GB2312"/>
                <w:color w:val="auto"/>
                <w:sz w:val="22"/>
                <w:szCs w:val="22"/>
              </w:rPr>
              <w:t>及资源置换</w:t>
            </w:r>
          </w:p>
        </w:tc>
        <w:tc>
          <w:tcPr>
            <w:tcW w:w="2803" w:type="dxa"/>
            <w:vAlign w:val="center"/>
          </w:tcPr>
          <w:p w14:paraId="799FA608">
            <w:pPr>
              <w:pStyle w:val="34"/>
              <w:pageBreakBefore w:val="0"/>
              <w:numPr>
                <w:ilvl w:val="0"/>
                <w:numId w:val="13"/>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22"/>
                <w:szCs w:val="22"/>
              </w:rPr>
            </w:pPr>
            <w:r>
              <w:rPr>
                <w:rFonts w:hint="eastAsia" w:ascii="仿宋_GB2312" w:hAnsi="仿宋_GB2312" w:eastAsia="仿宋_GB2312" w:cs="仿宋_GB2312"/>
                <w:color w:val="auto"/>
                <w:sz w:val="22"/>
                <w:szCs w:val="22"/>
              </w:rPr>
              <w:t>己方颜色方块①</w:t>
            </w:r>
          </w:p>
          <w:p w14:paraId="25D217A1">
            <w:pPr>
              <w:pStyle w:val="34"/>
              <w:pageBreakBefore w:val="0"/>
              <w:numPr>
                <w:ilvl w:val="0"/>
                <w:numId w:val="13"/>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黄色方块</w:t>
            </w:r>
          </w:p>
          <w:p w14:paraId="6E4A0E97">
            <w:pPr>
              <w:pStyle w:val="34"/>
              <w:pageBreakBefore w:val="0"/>
              <w:numPr>
                <w:ilvl w:val="0"/>
                <w:numId w:val="13"/>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对方颜色方块</w:t>
            </w:r>
          </w:p>
          <w:p w14:paraId="5DD8B718">
            <w:pPr>
              <w:pStyle w:val="34"/>
              <w:pageBreakBefore w:val="0"/>
              <w:numPr>
                <w:ilvl w:val="0"/>
                <w:numId w:val="13"/>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己方颜色方块②</w:t>
            </w:r>
          </w:p>
          <w:p w14:paraId="0DFEECDA">
            <w:pPr>
              <w:pStyle w:val="34"/>
              <w:pageBreakBefore w:val="0"/>
              <w:numPr>
                <w:ilvl w:val="0"/>
                <w:numId w:val="13"/>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己方颜色方块③</w:t>
            </w:r>
          </w:p>
        </w:tc>
        <w:tc>
          <w:tcPr>
            <w:tcW w:w="2109" w:type="dxa"/>
            <w:vAlign w:val="center"/>
          </w:tcPr>
          <w:p w14:paraId="16FAAA4A">
            <w:pPr>
              <w:pStyle w:val="34"/>
              <w:pageBreakBefore w:val="0"/>
              <w:numPr>
                <w:ilvl w:val="0"/>
                <w:numId w:val="13"/>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10分/个</w:t>
            </w:r>
          </w:p>
          <w:p w14:paraId="67B621B1">
            <w:pPr>
              <w:pStyle w:val="34"/>
              <w:pageBreakBefore w:val="0"/>
              <w:numPr>
                <w:ilvl w:val="0"/>
                <w:numId w:val="13"/>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20分/个</w:t>
            </w:r>
          </w:p>
          <w:p w14:paraId="68E58889">
            <w:pPr>
              <w:pStyle w:val="34"/>
              <w:pageBreakBefore w:val="0"/>
              <w:numPr>
                <w:ilvl w:val="0"/>
                <w:numId w:val="13"/>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20分/个</w:t>
            </w:r>
          </w:p>
          <w:p w14:paraId="05F8083E">
            <w:pPr>
              <w:pStyle w:val="34"/>
              <w:pageBreakBefore w:val="0"/>
              <w:numPr>
                <w:ilvl w:val="0"/>
                <w:numId w:val="13"/>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30分/个</w:t>
            </w:r>
          </w:p>
          <w:p w14:paraId="07D12012">
            <w:pPr>
              <w:pStyle w:val="34"/>
              <w:pageBreakBefore w:val="0"/>
              <w:numPr>
                <w:ilvl w:val="0"/>
                <w:numId w:val="13"/>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30分/个</w:t>
            </w:r>
          </w:p>
        </w:tc>
        <w:tc>
          <w:tcPr>
            <w:tcW w:w="1999" w:type="dxa"/>
            <w:vAlign w:val="center"/>
          </w:tcPr>
          <w:p w14:paraId="7CC800D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110分</w:t>
            </w:r>
          </w:p>
        </w:tc>
      </w:tr>
    </w:tbl>
    <w:p w14:paraId="689A58C5">
      <w:pPr>
        <w:pStyle w:val="67"/>
        <w:pageBreakBefore w:val="0"/>
        <w:kinsoku/>
        <w:overflowPunct/>
        <w:topLinePunct w:val="0"/>
        <w:autoSpaceDE/>
        <w:autoSpaceDN/>
        <w:bidi w:val="0"/>
        <w:adjustRightInd w:val="0"/>
        <w:snapToGrid w:val="0"/>
        <w:spacing w:before="156" w:beforeLines="50" w:after="156" w:afterLines="50"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联盟任务得分</w:t>
      </w:r>
    </w:p>
    <w:tbl>
      <w:tblPr>
        <w:tblStyle w:val="21"/>
        <w:tblW w:w="9369" w:type="dxa"/>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353"/>
        <w:gridCol w:w="3019"/>
        <w:gridCol w:w="2000"/>
        <w:gridCol w:w="1997"/>
      </w:tblGrid>
      <w:tr w14:paraId="2EB449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353" w:type="dxa"/>
            <w:vAlign w:val="center"/>
          </w:tcPr>
          <w:p w14:paraId="3DCA8FB1">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比赛任务</w:t>
            </w:r>
          </w:p>
        </w:tc>
        <w:tc>
          <w:tcPr>
            <w:tcW w:w="3019" w:type="dxa"/>
            <w:vAlign w:val="center"/>
          </w:tcPr>
          <w:p w14:paraId="1EF7408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得分道具</w:t>
            </w:r>
          </w:p>
        </w:tc>
        <w:tc>
          <w:tcPr>
            <w:tcW w:w="2000" w:type="dxa"/>
            <w:vAlign w:val="center"/>
          </w:tcPr>
          <w:p w14:paraId="0E747DD3">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单个道具得分</w:t>
            </w:r>
          </w:p>
        </w:tc>
        <w:tc>
          <w:tcPr>
            <w:tcW w:w="1997" w:type="dxa"/>
            <w:vAlign w:val="center"/>
          </w:tcPr>
          <w:p w14:paraId="260BD342">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理论最高分值</w:t>
            </w:r>
          </w:p>
        </w:tc>
      </w:tr>
      <w:tr w14:paraId="5ACFB6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353" w:type="dxa"/>
            <w:vAlign w:val="center"/>
          </w:tcPr>
          <w:p w14:paraId="247DCBBC">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auto"/>
                <w:sz w:val="22"/>
                <w:szCs w:val="22"/>
              </w:rPr>
              <w:t>M05数据共享</w:t>
            </w:r>
          </w:p>
        </w:tc>
        <w:tc>
          <w:tcPr>
            <w:tcW w:w="3019" w:type="dxa"/>
            <w:vAlign w:val="center"/>
          </w:tcPr>
          <w:p w14:paraId="08FDA4EC">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黄色方块</w:t>
            </w:r>
          </w:p>
        </w:tc>
        <w:tc>
          <w:tcPr>
            <w:tcW w:w="2000" w:type="dxa"/>
            <w:vAlign w:val="center"/>
          </w:tcPr>
          <w:p w14:paraId="05AC9900">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30分/个</w:t>
            </w:r>
          </w:p>
        </w:tc>
        <w:tc>
          <w:tcPr>
            <w:tcW w:w="1997" w:type="dxa"/>
            <w:vAlign w:val="center"/>
          </w:tcPr>
          <w:p w14:paraId="49764F5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90分</w:t>
            </w:r>
          </w:p>
        </w:tc>
      </w:tr>
      <w:tr w14:paraId="4CC677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353" w:type="dxa"/>
            <w:vAlign w:val="center"/>
          </w:tcPr>
          <w:p w14:paraId="0A3E635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color w:val="auto"/>
                <w:sz w:val="22"/>
                <w:szCs w:val="22"/>
              </w:rPr>
              <w:t>M06 信道切换</w:t>
            </w:r>
          </w:p>
        </w:tc>
        <w:tc>
          <w:tcPr>
            <w:tcW w:w="3019" w:type="dxa"/>
            <w:vAlign w:val="center"/>
          </w:tcPr>
          <w:p w14:paraId="16753DC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完全进入手动任务区的机器人</w:t>
            </w:r>
          </w:p>
        </w:tc>
        <w:tc>
          <w:tcPr>
            <w:tcW w:w="2000" w:type="dxa"/>
            <w:vAlign w:val="center"/>
          </w:tcPr>
          <w:p w14:paraId="2ACF8782">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30分/个</w:t>
            </w:r>
          </w:p>
        </w:tc>
        <w:tc>
          <w:tcPr>
            <w:tcW w:w="1997" w:type="dxa"/>
            <w:vAlign w:val="center"/>
          </w:tcPr>
          <w:p w14:paraId="768E5101">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60分</w:t>
            </w:r>
          </w:p>
        </w:tc>
      </w:tr>
      <w:tr w14:paraId="3DC627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353" w:type="dxa"/>
            <w:vAlign w:val="center"/>
          </w:tcPr>
          <w:p w14:paraId="26F43FDA">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color w:val="000000"/>
                <w:sz w:val="22"/>
                <w:szCs w:val="22"/>
              </w:rPr>
              <w:t>M07 数据点亮</w:t>
            </w:r>
          </w:p>
        </w:tc>
        <w:tc>
          <w:tcPr>
            <w:tcW w:w="3019" w:type="dxa"/>
            <w:vAlign w:val="center"/>
          </w:tcPr>
          <w:p w14:paraId="034263EB">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翻转台立牌</w:t>
            </w:r>
          </w:p>
        </w:tc>
        <w:tc>
          <w:tcPr>
            <w:tcW w:w="2000" w:type="dxa"/>
            <w:vAlign w:val="center"/>
          </w:tcPr>
          <w:p w14:paraId="24FFDA0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20分/个</w:t>
            </w:r>
          </w:p>
        </w:tc>
        <w:tc>
          <w:tcPr>
            <w:tcW w:w="1997" w:type="dxa"/>
            <w:vAlign w:val="center"/>
          </w:tcPr>
          <w:p w14:paraId="065D20F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80分</w:t>
            </w:r>
          </w:p>
        </w:tc>
      </w:tr>
      <w:tr w14:paraId="5E9D28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353" w:type="dxa"/>
            <w:vAlign w:val="center"/>
          </w:tcPr>
          <w:p w14:paraId="2C33A9B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000000"/>
                <w:sz w:val="22"/>
                <w:szCs w:val="22"/>
              </w:rPr>
            </w:pPr>
            <w:r>
              <w:rPr>
                <w:rFonts w:hint="eastAsia" w:ascii="仿宋_GB2312" w:hAnsi="仿宋_GB2312" w:eastAsia="仿宋_GB2312" w:cs="仿宋_GB2312"/>
                <w:color w:val="000000"/>
                <w:sz w:val="22"/>
                <w:szCs w:val="22"/>
              </w:rPr>
              <w:t>M08 X信号发射</w:t>
            </w:r>
          </w:p>
        </w:tc>
        <w:tc>
          <w:tcPr>
            <w:tcW w:w="3019" w:type="dxa"/>
            <w:vAlign w:val="center"/>
          </w:tcPr>
          <w:p w14:paraId="4E439295">
            <w:pPr>
              <w:pStyle w:val="34"/>
              <w:pageBreakBefore w:val="0"/>
              <w:numPr>
                <w:ilvl w:val="0"/>
                <w:numId w:val="14"/>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战队标记物</w:t>
            </w:r>
          </w:p>
          <w:p w14:paraId="55029571">
            <w:pPr>
              <w:pStyle w:val="34"/>
              <w:pageBreakBefore w:val="0"/>
              <w:numPr>
                <w:ilvl w:val="0"/>
                <w:numId w:val="14"/>
              </w:numPr>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翻转台及X信号塔</w:t>
            </w:r>
          </w:p>
        </w:tc>
        <w:tc>
          <w:tcPr>
            <w:tcW w:w="2000" w:type="dxa"/>
            <w:vAlign w:val="center"/>
          </w:tcPr>
          <w:p w14:paraId="2E8D2F08">
            <w:pPr>
              <w:pStyle w:val="34"/>
              <w:pageBreakBefore w:val="0"/>
              <w:numPr>
                <w:ilvl w:val="0"/>
                <w:numId w:val="15"/>
              </w:numPr>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30分/个</w:t>
            </w:r>
          </w:p>
          <w:p w14:paraId="5F2BE039">
            <w:pPr>
              <w:pStyle w:val="34"/>
              <w:pageBreakBefore w:val="0"/>
              <w:numPr>
                <w:ilvl w:val="0"/>
                <w:numId w:val="15"/>
              </w:numPr>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100分</w:t>
            </w:r>
          </w:p>
        </w:tc>
        <w:tc>
          <w:tcPr>
            <w:tcW w:w="1997" w:type="dxa"/>
            <w:vAlign w:val="center"/>
          </w:tcPr>
          <w:p w14:paraId="48D39EBC">
            <w:pPr>
              <w:pStyle w:val="34"/>
              <w:pageBreakBefore w:val="0"/>
              <w:numPr>
                <w:ilvl w:val="0"/>
                <w:numId w:val="15"/>
              </w:numPr>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60分/个</w:t>
            </w:r>
          </w:p>
          <w:p w14:paraId="3145D22F">
            <w:pPr>
              <w:pStyle w:val="34"/>
              <w:pageBreakBefore w:val="0"/>
              <w:numPr>
                <w:ilvl w:val="0"/>
                <w:numId w:val="15"/>
              </w:numPr>
              <w:kinsoku/>
              <w:overflowPunct/>
              <w:topLinePunct w:val="0"/>
              <w:autoSpaceDE/>
              <w:autoSpaceDN/>
              <w:bidi w:val="0"/>
              <w:adjustRightInd w:val="0"/>
              <w:snapToGrid w:val="0"/>
              <w:spacing w:line="360" w:lineRule="auto"/>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100分</w:t>
            </w:r>
          </w:p>
        </w:tc>
      </w:tr>
    </w:tbl>
    <w:p w14:paraId="18045223">
      <w:pPr>
        <w:pageBreakBefore w:val="0"/>
        <w:kinsoku/>
        <w:overflowPunct/>
        <w:topLinePunct w:val="0"/>
        <w:autoSpaceDE/>
        <w:autoSpaceDN/>
        <w:bidi w:val="0"/>
        <w:adjustRightInd w:val="0"/>
        <w:snapToGrid w:val="0"/>
        <w:spacing w:before="156" w:beforeLines="50"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单场比赛结束后，裁判将确认战队单场得分，每支战队单场得分由三部分构成：独立任务得分、联盟任务得分与违例扣分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单场得分将用于计算资格排位赛排名或冠军争夺战排名。</w:t>
      </w:r>
    </w:p>
    <w:p w14:paraId="78CFC747">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计分方式</w:t>
      </w:r>
    </w:p>
    <w:p w14:paraId="561CE255">
      <w:pPr>
        <w:pageBreakBefore w:val="0"/>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单场得分：本方独立任务得分+联盟任务得分-本方违例扣分</w:t>
      </w:r>
    </w:p>
    <w:p w14:paraId="4770C669">
      <w:pPr>
        <w:pageBreakBefore w:val="0"/>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单场最高分：180分+390分-0分=570分</w:t>
      </w:r>
    </w:p>
    <w:p w14:paraId="6E4898F2">
      <w:pPr>
        <w:pStyle w:val="37"/>
        <w:pageBreakBefore w:val="0"/>
        <w:numPr>
          <w:ilvl w:val="1"/>
          <w:numId w:val="0"/>
        </w:numPr>
        <w:kinsoku/>
        <w:overflowPunct/>
        <w:topLinePunct w:val="0"/>
        <w:autoSpaceDE/>
        <w:autoSpaceDN/>
        <w:bidi w:val="0"/>
        <w:adjustRightInd w:val="0"/>
        <w:snapToGrid w:val="0"/>
        <w:spacing w:line="360" w:lineRule="auto"/>
        <w:ind w:leftChars="0"/>
        <w:textAlignment w:val="auto"/>
        <w:rPr>
          <w:rFonts w:hint="eastAsia" w:ascii="仿宋_GB2312" w:hAnsi="仿宋_GB2312" w:eastAsia="仿宋_GB2312" w:cs="仿宋_GB2312"/>
          <w:sz w:val="36"/>
          <w:szCs w:val="36"/>
        </w:rPr>
      </w:pPr>
      <w:bookmarkStart w:id="23" w:name="_Toc10161"/>
      <w:r>
        <w:rPr>
          <w:rFonts w:hint="eastAsia" w:ascii="仿宋_GB2312" w:hAnsi="仿宋_GB2312" w:eastAsia="仿宋_GB2312" w:cs="仿宋_GB2312"/>
          <w:b/>
          <w:bCs/>
          <w:color w:val="E6233C"/>
          <w:kern w:val="2"/>
          <w:sz w:val="36"/>
          <w:szCs w:val="36"/>
          <w:lang w:val="en-US" w:eastAsia="zh-CN" w:bidi="ar-SA"/>
        </w:rPr>
        <w:t>6.5.</w:t>
      </w:r>
      <w:r>
        <w:rPr>
          <w:rFonts w:hint="eastAsia" w:ascii="仿宋_GB2312" w:hAnsi="仿宋_GB2312" w:eastAsia="仿宋_GB2312" w:cs="仿宋_GB2312"/>
          <w:sz w:val="36"/>
          <w:szCs w:val="36"/>
        </w:rPr>
        <w:t>单场比赛流程</w:t>
      </w:r>
      <w:bookmarkEnd w:id="23"/>
    </w:p>
    <w:p w14:paraId="40817197">
      <w:pPr>
        <w:pStyle w:val="34"/>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比赛时间共计 240 秒。对于任意战队，其比赛阶段及切换时间如下</w:t>
      </w:r>
      <w:r>
        <w:rPr>
          <w:rFonts w:hint="eastAsia" w:ascii="仿宋_GB2312" w:hAnsi="仿宋_GB2312" w:eastAsia="仿宋_GB2312" w:cs="仿宋_GB2312"/>
          <w:sz w:val="32"/>
          <w:szCs w:val="32"/>
          <w:lang w:val="en-GB" w:eastAsia="zh-CN"/>
        </w:rPr>
        <w:t>：</w:t>
      </w:r>
      <w:r>
        <w:rPr>
          <w:rFonts w:hint="eastAsia" w:ascii="仿宋_GB2312" w:hAnsi="仿宋_GB2312" w:eastAsia="仿宋_GB2312" w:cs="仿宋_GB2312"/>
          <w:sz w:val="32"/>
          <w:szCs w:val="32"/>
        </w:rPr>
        <w:drawing>
          <wp:inline distT="0" distB="0" distL="114300" distR="114300">
            <wp:extent cx="6037580" cy="483235"/>
            <wp:effectExtent l="0" t="0" r="1270" b="12065"/>
            <wp:docPr id="9"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2"/>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37580" cy="483235"/>
                    </a:xfrm>
                    <a:prstGeom prst="rect">
                      <a:avLst/>
                    </a:prstGeom>
                  </pic:spPr>
                </pic:pic>
              </a:graphicData>
            </a:graphic>
          </wp:inline>
        </w:drawing>
      </w:r>
    </w:p>
    <w:p w14:paraId="776623F7">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到场准备</w:t>
      </w:r>
    </w:p>
    <w:p w14:paraId="247EB923">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单场比赛开始前，选手应按照赛程时间提前抵达场地，并在裁判的引导下做好以下准备：</w:t>
      </w:r>
    </w:p>
    <w:p w14:paraId="2C9137AD">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（1）将机器人电源保持开启状态，完全放在本方自动任务区的启动区内，蓝牙手柄保持开启状态，放在手动任务区的启动区内或场地边框外，战队标记物放置于手动任务区的手动装载两侧的方形区域内；</w:t>
      </w:r>
    </w:p>
    <w:p w14:paraId="5A11B805">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（2）选出一名战队代表抽取道具卡，并按照道具卡摆放M01、M04、M05任务道具位置；</w:t>
      </w:r>
    </w:p>
    <w:p w14:paraId="74CD7F4A">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（3）检查场地和道具摆放是否规范；</w:t>
      </w:r>
    </w:p>
    <w:p w14:paraId="0A99342B">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（4）等待裁判指令。</w:t>
      </w:r>
    </w:p>
    <w:p w14:paraId="327319E2">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自动控制阶段</w:t>
      </w:r>
    </w:p>
    <w:p w14:paraId="04B4B8CA">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裁判倒计时结束后，自动控制阶段计时开始：</w:t>
      </w:r>
    </w:p>
    <w:p w14:paraId="2421CE03">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（1）自动阶段开始后，机器人通过运行自动程序在自动任务区内完成相应的任务，期间选手可以随时向裁判发起重启或改装请求。</w:t>
      </w:r>
    </w:p>
    <w:p w14:paraId="3FE91E8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2）自动阶段开始后，联盟可随时发起阶段切换申请，即比赛由自动控制阶段切换到手动控制阶段，进入手动任务区后机器人不可以再返回自动任务区。阶段切换申请有且只有一次机会，联盟双方对于阶段的切换须自行达成一致意见，并由战队代表发起，裁判同意后，进入到自动控制阶段的计分时刻。</w:t>
      </w:r>
    </w:p>
    <w:p w14:paraId="6D443DC3">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（3）本阶段时长为0</w:t>
      </w:r>
      <w:r>
        <w:rPr>
          <w:rFonts w:hint="eastAsia" w:ascii="仿宋_GB2312" w:hAnsi="仿宋_GB2312" w:eastAsia="仿宋_GB2312" w:cs="仿宋_GB2312"/>
          <w:sz w:val="32"/>
          <w:szCs w:val="32"/>
          <w:lang w:val="en-US" w:eastAsia="zh-CN"/>
        </w:rPr>
        <w:t>-</w:t>
      </w:r>
      <w:r>
        <w:rPr>
          <w:rFonts w:hint="eastAsia" w:ascii="仿宋_GB2312" w:hAnsi="仿宋_GB2312" w:eastAsia="仿宋_GB2312" w:cs="仿宋_GB2312"/>
          <w:sz w:val="32"/>
          <w:szCs w:val="32"/>
          <w:lang w:val="en-GB"/>
        </w:rPr>
        <w:t>240秒，具体时间取决于联盟发起的阶段切换申请。</w:t>
      </w:r>
    </w:p>
    <w:p w14:paraId="6E024830">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自动控制阶段计分时刻</w:t>
      </w:r>
    </w:p>
    <w:p w14:paraId="68985E6F">
      <w:pPr>
        <w:pStyle w:val="34"/>
        <w:pageBreakBefore w:val="0"/>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联盟发起阶段切换，裁判同意后，比赛将会暂停计时，进入自动控制阶段的计分时刻。在此期间，红蓝双方不许触碰机器人，机器人保持在申请切换时的状态，等待裁判计分完成。</w:t>
      </w:r>
    </w:p>
    <w:p w14:paraId="45E4F337">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手动控制阶段</w:t>
      </w:r>
    </w:p>
    <w:p w14:paraId="4F0E91F2">
      <w:pPr>
        <w:pStyle w:val="34"/>
        <w:pageBreakBefore w:val="0"/>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自动控制阶段裁判计分完成，裁判员发出“转移机器人”的指令：</w:t>
      </w:r>
    </w:p>
    <w:p w14:paraId="1C28BD9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（1）</w:t>
      </w:r>
      <w:r>
        <w:rPr>
          <w:rFonts w:hint="eastAsia" w:ascii="仿宋_GB2312" w:hAnsi="仿宋_GB2312" w:eastAsia="仿宋_GB2312" w:cs="仿宋_GB2312"/>
          <w:b w:val="0"/>
          <w:bCs w:val="0"/>
          <w:sz w:val="32"/>
          <w:szCs w:val="32"/>
          <w:lang w:val="en-GB"/>
        </w:rPr>
        <w:t>站位调整</w:t>
      </w:r>
      <w:r>
        <w:rPr>
          <w:rFonts w:hint="eastAsia" w:ascii="仿宋_GB2312" w:hAnsi="仿宋_GB2312" w:eastAsia="仿宋_GB2312" w:cs="仿宋_GB2312"/>
          <w:sz w:val="32"/>
          <w:szCs w:val="32"/>
          <w:lang w:val="en-GB"/>
        </w:rPr>
        <w:t>：选手需按照</w:t>
      </w:r>
      <w:r>
        <w:rPr>
          <w:rFonts w:hint="eastAsia" w:ascii="仿宋_GB2312" w:hAnsi="仿宋_GB2312" w:eastAsia="仿宋_GB2312" w:cs="仿宋_GB2312"/>
          <w:b/>
          <w:bCs/>
          <w:color w:val="auto"/>
          <w:sz w:val="32"/>
          <w:szCs w:val="32"/>
          <w:lang w:val="en-GB"/>
        </w:rPr>
        <w:t>“</w:t>
      </w:r>
      <w:r>
        <w:rPr>
          <w:rFonts w:hint="eastAsia" w:ascii="仿宋_GB2312" w:hAnsi="仿宋_GB2312" w:eastAsia="仿宋_GB2312" w:cs="仿宋_GB2312"/>
          <w:b/>
          <w:bCs/>
          <w:color w:val="auto"/>
          <w:sz w:val="32"/>
          <w:szCs w:val="32"/>
          <w:lang w:val="en-US" w:eastAsia="zh-CN"/>
        </w:rPr>
        <w:t>8</w:t>
      </w:r>
      <w:r>
        <w:rPr>
          <w:rFonts w:hint="eastAsia" w:ascii="仿宋_GB2312" w:hAnsi="仿宋_GB2312" w:eastAsia="仿宋_GB2312" w:cs="仿宋_GB2312"/>
          <w:b/>
          <w:bCs/>
          <w:color w:val="auto"/>
          <w:sz w:val="32"/>
          <w:szCs w:val="32"/>
          <w:lang w:val="en-GB"/>
        </w:rPr>
        <w:t>.3操作规则”</w:t>
      </w:r>
      <w:r>
        <w:rPr>
          <w:rFonts w:hint="eastAsia" w:ascii="仿宋_GB2312" w:hAnsi="仿宋_GB2312" w:eastAsia="仿宋_GB2312" w:cs="仿宋_GB2312"/>
          <w:sz w:val="32"/>
          <w:szCs w:val="32"/>
          <w:lang w:val="en-GB"/>
        </w:rPr>
        <w:t>中的站位要求进行站位；</w:t>
      </w:r>
    </w:p>
    <w:p w14:paraId="219EC8A7">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（2）</w:t>
      </w:r>
      <w:r>
        <w:rPr>
          <w:rFonts w:hint="eastAsia" w:ascii="仿宋_GB2312" w:hAnsi="仿宋_GB2312" w:eastAsia="仿宋_GB2312" w:cs="仿宋_GB2312"/>
          <w:b w:val="0"/>
          <w:bCs w:val="0"/>
          <w:sz w:val="32"/>
          <w:szCs w:val="32"/>
          <w:lang w:val="en-GB"/>
        </w:rPr>
        <w:t>机器人位置转移</w:t>
      </w:r>
      <w:r>
        <w:rPr>
          <w:rFonts w:hint="eastAsia" w:ascii="仿宋_GB2312" w:hAnsi="仿宋_GB2312" w:eastAsia="仿宋_GB2312" w:cs="仿宋_GB2312"/>
          <w:sz w:val="32"/>
          <w:szCs w:val="32"/>
          <w:lang w:val="en-GB"/>
        </w:rPr>
        <w:t>：红蓝双方需将机器人转移至手动任务区的启动区内（仅允许进行机器人放置），如在自动控制阶段已完成M06任务，则机器人无需回到启动区，可直接等待手动任务开始信号；</w:t>
      </w:r>
    </w:p>
    <w:p w14:paraId="7B53560D">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eastAsia="zh-CN"/>
        </w:rPr>
      </w:pPr>
      <w:r>
        <w:rPr>
          <w:rFonts w:hint="eastAsia" w:ascii="仿宋_GB2312" w:hAnsi="仿宋_GB2312" w:eastAsia="仿宋_GB2312" w:cs="仿宋_GB2312"/>
          <w:sz w:val="32"/>
          <w:szCs w:val="32"/>
          <w:lang w:val="en-GB"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lang w:val="en-GB" w:eastAsia="zh-CN"/>
        </w:rPr>
        <w:t>）</w:t>
      </w:r>
      <w:r>
        <w:rPr>
          <w:rFonts w:hint="eastAsia" w:ascii="仿宋_GB2312" w:hAnsi="仿宋_GB2312" w:eastAsia="仿宋_GB2312" w:cs="仿宋_GB2312"/>
          <w:sz w:val="32"/>
          <w:szCs w:val="32"/>
          <w:lang w:val="en-GB"/>
        </w:rPr>
        <w:t>机器人放置完毕后，裁判将发出“手动控制阶段开始”的指令，手动控制阶段开始，联盟双方开始手动阶段的任务</w:t>
      </w:r>
      <w:r>
        <w:rPr>
          <w:rFonts w:hint="eastAsia" w:ascii="仿宋_GB2312" w:hAnsi="仿宋_GB2312" w:eastAsia="仿宋_GB2312" w:cs="仿宋_GB2312"/>
          <w:sz w:val="32"/>
          <w:szCs w:val="32"/>
          <w:lang w:val="en-GB" w:eastAsia="zh-CN"/>
        </w:rPr>
        <w:t>；</w:t>
      </w:r>
    </w:p>
    <w:p w14:paraId="47191F18">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lang w:val="en-GB"/>
        </w:rPr>
        <w:t>）手动控制阶段时，选手进行观察手和操作手的任务分工，并站在指定站位区完成相关任务，具体站位要求请参考</w:t>
      </w:r>
      <w:r>
        <w:rPr>
          <w:rFonts w:hint="eastAsia" w:ascii="仿宋_GB2312" w:hAnsi="仿宋_GB2312" w:eastAsia="仿宋_GB2312" w:cs="仿宋_GB2312"/>
          <w:b/>
          <w:bCs/>
          <w:color w:val="auto"/>
          <w:sz w:val="32"/>
          <w:szCs w:val="32"/>
          <w:lang w:val="en-GB"/>
        </w:rPr>
        <w:t>“</w:t>
      </w:r>
      <w:r>
        <w:rPr>
          <w:rFonts w:hint="eastAsia" w:ascii="仿宋_GB2312" w:hAnsi="仿宋_GB2312" w:eastAsia="仿宋_GB2312" w:cs="仿宋_GB2312"/>
          <w:b/>
          <w:bCs/>
          <w:color w:val="auto"/>
          <w:sz w:val="32"/>
          <w:szCs w:val="32"/>
          <w:lang w:val="en-US" w:eastAsia="zh-CN"/>
        </w:rPr>
        <w:t>8</w:t>
      </w:r>
      <w:r>
        <w:rPr>
          <w:rFonts w:hint="eastAsia" w:ascii="仿宋_GB2312" w:hAnsi="仿宋_GB2312" w:eastAsia="仿宋_GB2312" w:cs="仿宋_GB2312"/>
          <w:b/>
          <w:bCs/>
          <w:color w:val="auto"/>
          <w:sz w:val="32"/>
          <w:szCs w:val="32"/>
          <w:lang w:val="en-GB"/>
        </w:rPr>
        <w:t>.3操作规则”</w:t>
      </w:r>
      <w:r>
        <w:rPr>
          <w:rFonts w:hint="eastAsia" w:ascii="仿宋_GB2312" w:hAnsi="仿宋_GB2312" w:eastAsia="仿宋_GB2312" w:cs="仿宋_GB2312"/>
          <w:sz w:val="32"/>
          <w:szCs w:val="32"/>
          <w:lang w:val="en-GB"/>
        </w:rPr>
        <w:t>中关于参赛选手错误站位。在手动控制阶段，观察手和操作手可以向裁判申请换位，具体换位要求请参考</w:t>
      </w:r>
      <w:r>
        <w:rPr>
          <w:rFonts w:hint="eastAsia" w:ascii="仿宋_GB2312" w:hAnsi="仿宋_GB2312" w:eastAsia="仿宋_GB2312" w:cs="仿宋_GB2312"/>
          <w:b/>
          <w:bCs/>
          <w:color w:val="auto"/>
          <w:sz w:val="32"/>
          <w:szCs w:val="32"/>
          <w:lang w:val="en-GB"/>
        </w:rPr>
        <w:t>“</w:t>
      </w:r>
      <w:r>
        <w:rPr>
          <w:rFonts w:hint="eastAsia" w:ascii="仿宋_GB2312" w:hAnsi="仿宋_GB2312" w:eastAsia="仿宋_GB2312" w:cs="仿宋_GB2312"/>
          <w:b/>
          <w:bCs/>
          <w:color w:val="auto"/>
          <w:sz w:val="32"/>
          <w:szCs w:val="32"/>
          <w:lang w:val="en-US" w:eastAsia="zh-CN"/>
        </w:rPr>
        <w:t>8</w:t>
      </w:r>
      <w:r>
        <w:rPr>
          <w:rFonts w:hint="eastAsia" w:ascii="仿宋_GB2312" w:hAnsi="仿宋_GB2312" w:eastAsia="仿宋_GB2312" w:cs="仿宋_GB2312"/>
          <w:b/>
          <w:bCs/>
          <w:color w:val="auto"/>
          <w:sz w:val="32"/>
          <w:szCs w:val="32"/>
          <w:lang w:val="en-GB"/>
        </w:rPr>
        <w:t>.3操作规则”</w:t>
      </w:r>
      <w:r>
        <w:rPr>
          <w:rFonts w:hint="eastAsia" w:ascii="仿宋_GB2312" w:hAnsi="仿宋_GB2312" w:eastAsia="仿宋_GB2312" w:cs="仿宋_GB2312"/>
          <w:sz w:val="32"/>
          <w:szCs w:val="32"/>
          <w:lang w:val="en-GB"/>
        </w:rPr>
        <w:t>中关于参赛选手错误换位。</w:t>
      </w:r>
    </w:p>
    <w:p w14:paraId="29CAA4A0">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lang w:val="en-GB"/>
        </w:rPr>
        <w:t>）若联盟在4分钟比赛时间未结束前，向裁判申请结束比赛，裁判许可后发出“比赛结束”指令并停止计时，则比赛提前结束；或在4分钟的比赛时间用完时，裁判将主动发出“比赛结束”指令，比赛结束。</w:t>
      </w:r>
    </w:p>
    <w:p w14:paraId="33585616">
      <w:pPr>
        <w:pStyle w:val="34"/>
        <w:pageBreakBefore w:val="0"/>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比赛全程参赛队员可依照比赛规范对机器人进行重启、维修、改装，在此期间比赛时间不停止。除安全问题外，选手不得向裁判申请暂停比赛。</w:t>
      </w:r>
    </w:p>
    <w:p w14:paraId="348F31DD">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裁判计分及选手签字确认</w:t>
      </w:r>
    </w:p>
    <w:p w14:paraId="7478B191">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比赛结束后，裁判会进行得分统计。如对比赛无异议，双方战队代表必须在成绩单上签字确认比赛结果。如对比赛结果存在异议，参赛战队无需签字，应在未签字确认成绩的前提下，立刻向当值裁判提出异议，积极沟通。</w:t>
      </w:r>
    </w:p>
    <w:p w14:paraId="7C00252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bookmarkStart w:id="24" w:name="_Hlk80289722"/>
      <w:r>
        <w:rPr>
          <w:rFonts w:hint="eastAsia" w:ascii="仿宋_GB2312" w:hAnsi="仿宋_GB2312" w:eastAsia="仿宋_GB2312" w:cs="仿宋_GB2312"/>
          <w:sz w:val="32"/>
          <w:szCs w:val="32"/>
          <w:lang w:val="en-GB"/>
        </w:rPr>
        <w:t>签字确认后，参赛队员应主动协助裁判复原场地道具，并携带机器人和手柄有序离场。</w:t>
      </w:r>
    </w:p>
    <w:bookmarkEnd w:id="24"/>
    <w:p w14:paraId="4FFBD49C">
      <w:pPr>
        <w:pStyle w:val="40"/>
        <w:pageBreakBefore w:val="0"/>
        <w:numPr>
          <w:ilvl w:val="0"/>
          <w:numId w:val="16"/>
        </w:numPr>
        <w:kinsoku/>
        <w:overflowPunct/>
        <w:topLinePunct w:val="0"/>
        <w:autoSpaceDE/>
        <w:autoSpaceDN/>
        <w:bidi w:val="0"/>
        <w:adjustRightInd w:val="0"/>
        <w:snapToGrid w:val="0"/>
        <w:spacing w:line="360" w:lineRule="auto"/>
        <w:ind w:left="425" w:leftChars="0" w:hanging="425" w:firstLineChars="0"/>
        <w:textAlignment w:val="auto"/>
        <w:rPr>
          <w:rFonts w:hint="eastAsia" w:ascii="仿宋_GB2312" w:hAnsi="仿宋_GB2312" w:eastAsia="仿宋_GB2312" w:cs="仿宋_GB2312"/>
          <w:sz w:val="40"/>
          <w:szCs w:val="40"/>
        </w:rPr>
      </w:pPr>
      <w:bookmarkStart w:id="25" w:name="_Toc6441"/>
      <w:r>
        <w:rPr>
          <w:rFonts w:hint="eastAsia" w:ascii="仿宋_GB2312" w:hAnsi="仿宋_GB2312" w:eastAsia="仿宋_GB2312" w:cs="仿宋_GB2312"/>
          <w:sz w:val="40"/>
          <w:szCs w:val="40"/>
        </w:rPr>
        <w:t>技术规范</w:t>
      </w:r>
      <w:bookmarkEnd w:id="25"/>
    </w:p>
    <w:p w14:paraId="420E5D89">
      <w:pPr>
        <w:pStyle w:val="37"/>
        <w:pageBreakBefore w:val="0"/>
        <w:numPr>
          <w:ilvl w:val="1"/>
          <w:numId w:val="16"/>
        </w:numPr>
        <w:kinsoku/>
        <w:overflowPunct/>
        <w:topLinePunct w:val="0"/>
        <w:autoSpaceDE/>
        <w:autoSpaceDN/>
        <w:bidi w:val="0"/>
        <w:adjustRightInd w:val="0"/>
        <w:snapToGrid w:val="0"/>
        <w:spacing w:line="360" w:lineRule="auto"/>
        <w:ind w:left="567" w:leftChars="0" w:hanging="567" w:firstLineChars="0"/>
        <w:textAlignment w:val="auto"/>
        <w:rPr>
          <w:rFonts w:hint="eastAsia" w:ascii="仿宋_GB2312" w:hAnsi="仿宋_GB2312" w:eastAsia="仿宋_GB2312" w:cs="仿宋_GB2312"/>
          <w:sz w:val="36"/>
          <w:szCs w:val="36"/>
        </w:rPr>
      </w:pPr>
      <w:bookmarkStart w:id="26" w:name="_Toc11428"/>
      <w:r>
        <w:rPr>
          <w:rFonts w:hint="eastAsia" w:ascii="仿宋_GB2312" w:hAnsi="仿宋_GB2312" w:eastAsia="仿宋_GB2312" w:cs="仿宋_GB2312"/>
          <w:sz w:val="36"/>
          <w:szCs w:val="36"/>
        </w:rPr>
        <w:t>机器人制作规范</w:t>
      </w:r>
      <w:bookmarkEnd w:id="26"/>
    </w:p>
    <w:p w14:paraId="4797C70B">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lang w:val="en-GB"/>
        </w:rPr>
      </w:pPr>
      <w:r>
        <w:rPr>
          <w:rFonts w:hint="eastAsia" w:ascii="仿宋_GB2312" w:hAnsi="仿宋_GB2312" w:eastAsia="仿宋_GB2312" w:cs="仿宋_GB2312"/>
          <w:sz w:val="32"/>
          <w:szCs w:val="32"/>
          <w:lang w:val="en-GB"/>
        </w:rPr>
        <w:t>机器人制作规范是指导各参赛战队更好的参赛备赛、公平公正且安全的竞赛标准规范。鼓励各参赛战队在充分阅读、理解该规范的前提下进行机器人的编程搭建。所有参赛战队的机器人必须严格遵守该制作规范，凡违背该规范要求的机器人将被要求整改，情节严重者将被判罚取消比赛成绩或取消比赛资格。</w:t>
      </w:r>
    </w:p>
    <w:p w14:paraId="24BBBA94">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机器人机械规范</w:t>
      </w:r>
    </w:p>
    <w:p w14:paraId="50F1817A">
      <w:pPr>
        <w:pStyle w:val="52"/>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Style w:val="68"/>
          <w:rFonts w:hint="eastAsia" w:ascii="仿宋_GB2312" w:hAnsi="仿宋_GB2312" w:eastAsia="仿宋_GB2312" w:cs="仿宋_GB2312"/>
          <w:sz w:val="32"/>
          <w:szCs w:val="32"/>
          <w:lang w:eastAsia="zh-CN"/>
        </w:rPr>
        <w:t>（</w:t>
      </w:r>
      <w:r>
        <w:rPr>
          <w:rStyle w:val="68"/>
          <w:rFonts w:hint="eastAsia" w:ascii="仿宋_GB2312" w:hAnsi="仿宋_GB2312" w:eastAsia="仿宋_GB2312" w:cs="仿宋_GB2312"/>
          <w:sz w:val="32"/>
          <w:szCs w:val="32"/>
          <w:lang w:val="en-US" w:eastAsia="zh-CN"/>
        </w:rPr>
        <w:t>1</w:t>
      </w:r>
      <w:r>
        <w:rPr>
          <w:rStyle w:val="68"/>
          <w:rFonts w:hint="eastAsia" w:ascii="仿宋_GB2312" w:hAnsi="仿宋_GB2312" w:eastAsia="仿宋_GB2312" w:cs="仿宋_GB2312"/>
          <w:sz w:val="32"/>
          <w:szCs w:val="32"/>
          <w:lang w:eastAsia="zh-CN"/>
        </w:rPr>
        <w:t>）</w:t>
      </w:r>
      <w:r>
        <w:rPr>
          <w:rStyle w:val="68"/>
          <w:rFonts w:hint="eastAsia" w:ascii="仿宋_GB2312" w:hAnsi="仿宋_GB2312" w:eastAsia="仿宋_GB2312" w:cs="仿宋_GB2312"/>
          <w:sz w:val="32"/>
          <w:szCs w:val="32"/>
        </w:rPr>
        <w:t>每支参赛战队仅可使用同一台机器人进行赛前检录，检录通过后，该战队仅可使用通过检录的机器人进行比赛，严禁战队更换机器人，严禁战队使用未通过检录的机器人</w:t>
      </w:r>
      <w:r>
        <w:rPr>
          <w:rFonts w:hint="eastAsia" w:ascii="仿宋_GB2312" w:hAnsi="仿宋_GB2312" w:eastAsia="仿宋_GB2312" w:cs="仿宋_GB2312"/>
          <w:sz w:val="32"/>
          <w:szCs w:val="32"/>
        </w:rPr>
        <w:t>。</w:t>
      </w:r>
    </w:p>
    <w:p w14:paraId="5C010A9F">
      <w:pPr>
        <w:pStyle w:val="52"/>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整场比赛过程中，主控、底盘、车轮、履带不可更换，其余零件可以更换。</w:t>
      </w:r>
    </w:p>
    <w:p w14:paraId="2F0165C8">
      <w:pPr>
        <w:pStyle w:val="52"/>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整场比赛过程中，机器人的长、宽不得超过 300mm，高度不得超过300mm。机器人使用车轮（包括橡胶胎皮）直径不得超过70mm。</w:t>
      </w:r>
    </w:p>
    <w:p w14:paraId="63AA7256">
      <w:pPr>
        <w:pStyle w:val="52"/>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a.机器人尺寸以最大伸展尺寸为准，检录时需展开所有活动结构（含改装后状态）至最大尺寸状态。</w:t>
      </w:r>
    </w:p>
    <w:p w14:paraId="39072B5E">
      <w:pPr>
        <w:pStyle w:val="52"/>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b.机器人完全展开后，任意部分不得超出长300mm*宽300mm*高300mm的立方体。</w:t>
      </w:r>
    </w:p>
    <w:p w14:paraId="6EEF7D56">
      <w:pPr>
        <w:pStyle w:val="52"/>
        <w:pageBreakBefore w:val="0"/>
        <w:numPr>
          <w:ilvl w:val="0"/>
          <w:numId w:val="0"/>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drawing>
          <wp:inline distT="0" distB="0" distL="114300" distR="114300">
            <wp:extent cx="2902585" cy="2312035"/>
            <wp:effectExtent l="0" t="0" r="12065"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02585" cy="2312035"/>
                    </a:xfrm>
                    <a:prstGeom prst="rect">
                      <a:avLst/>
                    </a:prstGeom>
                  </pic:spPr>
                </pic:pic>
              </a:graphicData>
            </a:graphic>
          </wp:inline>
        </w:drawing>
      </w:r>
    </w:p>
    <w:p w14:paraId="4D6F0E2B">
      <w:pPr>
        <w:pStyle w:val="52"/>
        <w:pageBreakBefore w:val="0"/>
        <w:numPr>
          <w:ilvl w:val="0"/>
          <w:numId w:val="0"/>
        </w:numPr>
        <w:kinsoku/>
        <w:overflowPunct/>
        <w:topLinePunct w:val="0"/>
        <w:autoSpaceDE/>
        <w:autoSpaceDN/>
        <w:bidi w:val="0"/>
        <w:adjustRightInd w:val="0"/>
        <w:snapToGrid w:val="0"/>
        <w:spacing w:line="360" w:lineRule="auto"/>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7</w:t>
      </w:r>
      <w:r>
        <w:rPr>
          <w:rFonts w:hint="eastAsia" w:ascii="仿宋_GB2312" w:hAnsi="仿宋_GB2312" w:eastAsia="仿宋_GB2312" w:cs="仿宋_GB2312"/>
          <w:bCs/>
          <w:sz w:val="28"/>
          <w:szCs w:val="28"/>
        </w:rPr>
        <w:t>.1-1最大延伸尺寸俯视图</w:t>
      </w:r>
    </w:p>
    <w:p w14:paraId="0E77CAFE">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
          <w:color w:val="auto"/>
          <w:sz w:val="32"/>
          <w:szCs w:val="32"/>
        </w:rPr>
        <w:drawing>
          <wp:inline distT="0" distB="0" distL="114300" distR="114300">
            <wp:extent cx="3509645" cy="20396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3509645" cy="2039620"/>
                    </a:xfrm>
                    <a:prstGeom prst="rect">
                      <a:avLst/>
                    </a:prstGeom>
                  </pic:spPr>
                </pic:pic>
              </a:graphicData>
            </a:graphic>
          </wp:inline>
        </w:drawing>
      </w:r>
    </w:p>
    <w:p w14:paraId="32C53B83">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7</w:t>
      </w:r>
      <w:r>
        <w:rPr>
          <w:rFonts w:hint="eastAsia" w:ascii="仿宋_GB2312" w:hAnsi="仿宋_GB2312" w:eastAsia="仿宋_GB2312" w:cs="仿宋_GB2312"/>
          <w:bCs/>
          <w:sz w:val="28"/>
          <w:szCs w:val="28"/>
        </w:rPr>
        <w:t>.1-2最大延伸尺寸侧视图</w:t>
      </w:r>
    </w:p>
    <w:p w14:paraId="15901C03">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32"/>
          <w:szCs w:val="32"/>
        </w:rPr>
      </w:pPr>
    </w:p>
    <w:p w14:paraId="73A6AB1C">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drawing>
          <wp:inline distT="0" distB="0" distL="114300" distR="114300">
            <wp:extent cx="2049145" cy="18427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049145" cy="1842801"/>
                    </a:xfrm>
                    <a:prstGeom prst="rect">
                      <a:avLst/>
                    </a:prstGeom>
                    <a:noFill/>
                    <a:ln>
                      <a:noFill/>
                    </a:ln>
                  </pic:spPr>
                </pic:pic>
              </a:graphicData>
            </a:graphic>
          </wp:inline>
        </w:drawing>
      </w:r>
    </w:p>
    <w:p w14:paraId="4537A309">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图</w:t>
      </w:r>
      <w:r>
        <w:rPr>
          <w:rFonts w:hint="eastAsia" w:ascii="仿宋_GB2312" w:hAnsi="仿宋_GB2312" w:eastAsia="仿宋_GB2312" w:cs="仿宋_GB2312"/>
          <w:bCs/>
          <w:sz w:val="28"/>
          <w:szCs w:val="28"/>
          <w:lang w:val="en-US" w:eastAsia="zh-CN"/>
        </w:rPr>
        <w:t>7</w:t>
      </w:r>
      <w:r>
        <w:rPr>
          <w:rFonts w:hint="eastAsia" w:ascii="仿宋_GB2312" w:hAnsi="仿宋_GB2312" w:eastAsia="仿宋_GB2312" w:cs="仿宋_GB2312"/>
          <w:bCs/>
          <w:sz w:val="28"/>
          <w:szCs w:val="28"/>
        </w:rPr>
        <w:t>.1-3车轮尺寸示意图</w:t>
      </w:r>
    </w:p>
    <w:p w14:paraId="6EDF36F4">
      <w:pPr>
        <w:pStyle w:val="34"/>
        <w:pageBreakBefore w:val="0"/>
        <w:kinsoku/>
        <w:overflowPunct/>
        <w:topLinePunct w:val="0"/>
        <w:autoSpaceDE/>
        <w:autoSpaceDN/>
        <w:bidi w:val="0"/>
        <w:adjustRightInd w:val="0"/>
        <w:snapToGrid w:val="0"/>
        <w:spacing w:after="156" w:afterLines="50" w:line="360" w:lineRule="auto"/>
        <w:ind w:firstLine="0"/>
        <w:jc w:val="center"/>
        <w:textAlignment w:val="auto"/>
        <w:rPr>
          <w:rFonts w:hint="eastAsia" w:ascii="仿宋_GB2312" w:hAnsi="仿宋_GB2312" w:eastAsia="仿宋_GB2312" w:cs="仿宋_GB2312"/>
          <w:bCs/>
          <w:sz w:val="28"/>
          <w:szCs w:val="28"/>
        </w:rPr>
      </w:pPr>
    </w:p>
    <w:p w14:paraId="43D7E712">
      <w:pPr>
        <w:pStyle w:val="52"/>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在整个比赛过程中，机器人任意时刻最大净重量不超过2.5kg，包含电池以及所有改装结构件重量，不包含战队标记物重量。</w:t>
      </w:r>
    </w:p>
    <w:p w14:paraId="419E55A7">
      <w:pPr>
        <w:pStyle w:val="52"/>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参赛战队可自行制作机械零件，可以使用3D打印，激光切割等零件，不允许使用高集成度的完整商业产品，包括但不限于多自由度机械臂或机械手等。</w:t>
      </w:r>
    </w:p>
    <w:p w14:paraId="2D92B250">
      <w:pPr>
        <w:pStyle w:val="52"/>
        <w:pageBreakBefore w:val="0"/>
        <w:numPr>
          <w:ilvl w:val="0"/>
          <w:numId w:val="0"/>
        </w:numPr>
        <w:kinsoku/>
        <w:overflowPunct/>
        <w:topLinePunct w:val="0"/>
        <w:autoSpaceDE/>
        <w:autoSpaceDN/>
        <w:bidi w:val="0"/>
        <w:adjustRightInd w:val="0"/>
        <w:snapToGrid w:val="0"/>
        <w:spacing w:after="156" w:afterLines="50" w:line="360" w:lineRule="auto"/>
        <w:ind w:left="0" w:leftChars="0" w:firstLine="640" w:firstLineChars="200"/>
        <w:textAlignment w:val="auto"/>
        <w:rPr>
          <w:rFonts w:hint="eastAsia" w:ascii="仿宋_GB2312" w:hAnsi="仿宋_GB2312" w:eastAsia="仿宋_GB2312" w:cs="仿宋_GB2312"/>
          <w:b/>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为确保比赛的公平性，防止战队使用部分高性能设备破坏比赛公平性，战队使用的器材性能不得超过以下指标：</w:t>
      </w:r>
    </w:p>
    <w:tbl>
      <w:tblPr>
        <w:tblStyle w:val="21"/>
        <w:tblW w:w="0" w:type="auto"/>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
      <w:tblGrid>
        <w:gridCol w:w="1342"/>
        <w:gridCol w:w="1731"/>
        <w:gridCol w:w="3854"/>
        <w:gridCol w:w="2165"/>
      </w:tblGrid>
      <w:tr w14:paraId="4CB945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Align w:val="center"/>
          </w:tcPr>
          <w:p w14:paraId="4162C03D">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设备类型</w:t>
            </w:r>
          </w:p>
        </w:tc>
        <w:tc>
          <w:tcPr>
            <w:tcW w:w="1731" w:type="dxa"/>
            <w:vAlign w:val="center"/>
          </w:tcPr>
          <w:p w14:paraId="0475C57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部件名称</w:t>
            </w:r>
          </w:p>
        </w:tc>
        <w:tc>
          <w:tcPr>
            <w:tcW w:w="3854" w:type="dxa"/>
            <w:vAlign w:val="center"/>
          </w:tcPr>
          <w:p w14:paraId="35264AB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规格</w:t>
            </w:r>
          </w:p>
        </w:tc>
        <w:tc>
          <w:tcPr>
            <w:tcW w:w="2165" w:type="dxa"/>
            <w:vAlign w:val="center"/>
          </w:tcPr>
          <w:p w14:paraId="190E17F1">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备注</w:t>
            </w:r>
          </w:p>
        </w:tc>
      </w:tr>
      <w:tr w14:paraId="674C48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Align w:val="center"/>
          </w:tcPr>
          <w:p w14:paraId="61D6FDA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主控&amp;扩展板</w:t>
            </w:r>
          </w:p>
        </w:tc>
        <w:tc>
          <w:tcPr>
            <w:tcW w:w="1731" w:type="dxa"/>
            <w:vAlign w:val="center"/>
          </w:tcPr>
          <w:p w14:paraId="0FCDA5D8">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ESP32-WROVER-B</w:t>
            </w:r>
          </w:p>
        </w:tc>
        <w:tc>
          <w:tcPr>
            <w:tcW w:w="3854" w:type="dxa"/>
            <w:vAlign w:val="center"/>
          </w:tcPr>
          <w:p w14:paraId="5F600F75">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处理器：Xtensa® 32-bit LX6 双核处理器</w:t>
            </w:r>
          </w:p>
          <w:p w14:paraId="033DD9FE">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通讯模式：</w:t>
            </w:r>
          </w:p>
          <w:p w14:paraId="76E09A9F">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串口通信：主控板对扩展板</w:t>
            </w:r>
          </w:p>
          <w:p w14:paraId="2198AC3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数字信号：数字舵机接口</w:t>
            </w:r>
          </w:p>
          <w:p w14:paraId="7912A9E4">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PWM：直流电机接口</w:t>
            </w:r>
          </w:p>
        </w:tc>
        <w:tc>
          <w:tcPr>
            <w:tcW w:w="2165" w:type="dxa"/>
            <w:vAlign w:val="center"/>
          </w:tcPr>
          <w:p w14:paraId="5C0C84B7">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62CF8F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restart"/>
            <w:vAlign w:val="center"/>
          </w:tcPr>
          <w:p w14:paraId="747715A9">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传感器</w:t>
            </w:r>
          </w:p>
        </w:tc>
        <w:tc>
          <w:tcPr>
            <w:tcW w:w="1731" w:type="dxa"/>
            <w:vAlign w:val="center"/>
          </w:tcPr>
          <w:p w14:paraId="1786FD2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视觉传感器</w:t>
            </w:r>
          </w:p>
        </w:tc>
        <w:tc>
          <w:tcPr>
            <w:tcW w:w="3854" w:type="dxa"/>
            <w:vAlign w:val="center"/>
          </w:tcPr>
          <w:p w14:paraId="30AA1496">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视场角：65.0度</w:t>
            </w:r>
          </w:p>
          <w:p w14:paraId="07E4956A">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有效焦距：4.65±5% mm</w:t>
            </w:r>
          </w:p>
          <w:p w14:paraId="6744AB98">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识别速度：60帧/s</w:t>
            </w:r>
          </w:p>
          <w:p w14:paraId="5077C6E0">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识别距离：0.25-1.2m范围最佳</w:t>
            </w:r>
          </w:p>
          <w:p w14:paraId="1E15655B">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供电方式：3.7V锂电池或5V mBuild电源模块</w:t>
            </w:r>
          </w:p>
          <w:p w14:paraId="35DE0FB4">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功耗范围：0.9-1.3W</w:t>
            </w:r>
          </w:p>
        </w:tc>
        <w:tc>
          <w:tcPr>
            <w:tcW w:w="2165" w:type="dxa"/>
            <w:vMerge w:val="restart"/>
            <w:vAlign w:val="center"/>
          </w:tcPr>
          <w:p w14:paraId="230D3659">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类型和数量不限；</w:t>
            </w:r>
          </w:p>
          <w:p w14:paraId="4CEAB286">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机器人禁止使用任何可干扰到其它机器人感知能力的传感器</w:t>
            </w:r>
          </w:p>
        </w:tc>
      </w:tr>
      <w:tr w14:paraId="4F1052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continue"/>
            <w:vAlign w:val="center"/>
          </w:tcPr>
          <w:p w14:paraId="4FBC47C4">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Align w:val="center"/>
          </w:tcPr>
          <w:p w14:paraId="051A07A5">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超声波传感器</w:t>
            </w:r>
          </w:p>
        </w:tc>
        <w:tc>
          <w:tcPr>
            <w:tcW w:w="3854" w:type="dxa"/>
            <w:vAlign w:val="center"/>
          </w:tcPr>
          <w:p w14:paraId="52A3E576">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工作电压：DC 5V</w:t>
            </w:r>
          </w:p>
          <w:p w14:paraId="74A6B342">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读值范围：5-300cm</w:t>
            </w:r>
          </w:p>
          <w:p w14:paraId="3A37F18C">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读值误差：±5%</w:t>
            </w:r>
          </w:p>
        </w:tc>
        <w:tc>
          <w:tcPr>
            <w:tcW w:w="2165" w:type="dxa"/>
            <w:vMerge w:val="continue"/>
            <w:vAlign w:val="center"/>
          </w:tcPr>
          <w:p w14:paraId="0F3A6A65">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257AC9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continue"/>
            <w:vAlign w:val="center"/>
          </w:tcPr>
          <w:p w14:paraId="404164BC">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Align w:val="center"/>
          </w:tcPr>
          <w:p w14:paraId="27C2539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巡线传感器</w:t>
            </w:r>
          </w:p>
        </w:tc>
        <w:tc>
          <w:tcPr>
            <w:tcW w:w="3854" w:type="dxa"/>
            <w:vAlign w:val="center"/>
          </w:tcPr>
          <w:p w14:paraId="650EADA3">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工作电压：DC 5V</w:t>
            </w:r>
          </w:p>
          <w:p w14:paraId="7F282CDD">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检测高度：5-15mm</w:t>
            </w:r>
          </w:p>
        </w:tc>
        <w:tc>
          <w:tcPr>
            <w:tcW w:w="2165" w:type="dxa"/>
            <w:vMerge w:val="continue"/>
            <w:vAlign w:val="center"/>
          </w:tcPr>
          <w:p w14:paraId="434E14A5">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063A33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restart"/>
            <w:vAlign w:val="center"/>
          </w:tcPr>
          <w:p w14:paraId="72873E6A">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电机&amp;舵机</w:t>
            </w:r>
          </w:p>
        </w:tc>
        <w:tc>
          <w:tcPr>
            <w:tcW w:w="1731" w:type="dxa"/>
            <w:vAlign w:val="center"/>
          </w:tcPr>
          <w:p w14:paraId="442AEB3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编码电机</w:t>
            </w:r>
          </w:p>
        </w:tc>
        <w:tc>
          <w:tcPr>
            <w:tcW w:w="3854" w:type="dxa"/>
            <w:vAlign w:val="center"/>
          </w:tcPr>
          <w:p w14:paraId="3D8F9B44">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180光电编码电机</w:t>
            </w:r>
          </w:p>
          <w:p w14:paraId="49444F34">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额定电压：12V</w:t>
            </w:r>
          </w:p>
          <w:p w14:paraId="5C9F4D03">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空载转速：350RPM±5%</w:t>
            </w:r>
          </w:p>
          <w:p w14:paraId="665A6519">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减速比：39：6</w:t>
            </w:r>
          </w:p>
        </w:tc>
        <w:tc>
          <w:tcPr>
            <w:tcW w:w="2165" w:type="dxa"/>
            <w:vMerge w:val="restart"/>
            <w:vAlign w:val="center"/>
          </w:tcPr>
          <w:p w14:paraId="4C48218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禁止更改任何电机或舵机内部的机械结构和电气布局，允许在不改变电机性能的情况下，进行外部焊接。总数量最多6个</w:t>
            </w:r>
          </w:p>
        </w:tc>
      </w:tr>
      <w:tr w14:paraId="3E4BCC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continue"/>
            <w:vAlign w:val="center"/>
          </w:tcPr>
          <w:p w14:paraId="01D37CB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Merge w:val="restart"/>
            <w:vAlign w:val="center"/>
          </w:tcPr>
          <w:p w14:paraId="3084FB01">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直流电机</w:t>
            </w:r>
          </w:p>
        </w:tc>
        <w:tc>
          <w:tcPr>
            <w:tcW w:w="3854" w:type="dxa"/>
            <w:vAlign w:val="center"/>
          </w:tcPr>
          <w:p w14:paraId="789E26A8">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双轴TT马达</w:t>
            </w:r>
          </w:p>
          <w:p w14:paraId="663DFE4E">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额定电压：DC 6V</w:t>
            </w:r>
          </w:p>
          <w:p w14:paraId="7351D92A">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无负载速度：200RPM±10%</w:t>
            </w:r>
          </w:p>
          <w:p w14:paraId="2605108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齿轮比：1:48</w:t>
            </w:r>
          </w:p>
        </w:tc>
        <w:tc>
          <w:tcPr>
            <w:tcW w:w="2165" w:type="dxa"/>
            <w:vMerge w:val="continue"/>
            <w:vAlign w:val="center"/>
          </w:tcPr>
          <w:p w14:paraId="2B56DC3D">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1C9C27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continue"/>
            <w:vAlign w:val="center"/>
          </w:tcPr>
          <w:p w14:paraId="7CF3267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Merge w:val="continue"/>
            <w:vAlign w:val="center"/>
          </w:tcPr>
          <w:p w14:paraId="1718B7D9">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3854" w:type="dxa"/>
            <w:vAlign w:val="center"/>
          </w:tcPr>
          <w:p w14:paraId="2A51ADEA">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高速TT电机</w:t>
            </w:r>
          </w:p>
          <w:p w14:paraId="1A89B8AF">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额定电压：DC 6V</w:t>
            </w:r>
          </w:p>
          <w:p w14:paraId="307EE0C6">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无负载速度：312RPM±10%</w:t>
            </w:r>
          </w:p>
          <w:p w14:paraId="0E81E58C">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齿轮比：1：48</w:t>
            </w:r>
          </w:p>
        </w:tc>
        <w:tc>
          <w:tcPr>
            <w:tcW w:w="2165" w:type="dxa"/>
            <w:vMerge w:val="continue"/>
            <w:vAlign w:val="center"/>
          </w:tcPr>
          <w:p w14:paraId="284FE8A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089C18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continue"/>
            <w:vAlign w:val="center"/>
          </w:tcPr>
          <w:p w14:paraId="2DB2AFD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Merge w:val="restart"/>
            <w:vAlign w:val="center"/>
          </w:tcPr>
          <w:p w14:paraId="3B10A16C">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舵机</w:t>
            </w:r>
          </w:p>
        </w:tc>
        <w:tc>
          <w:tcPr>
            <w:tcW w:w="3854" w:type="dxa"/>
            <w:vAlign w:val="center"/>
          </w:tcPr>
          <w:p w14:paraId="080D8FAB">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MS-1.5A舵机</w:t>
            </w:r>
          </w:p>
          <w:p w14:paraId="0B4D4806">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工作电压：4.8-6V DC</w:t>
            </w:r>
          </w:p>
          <w:p w14:paraId="2ED0CACC">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扭矩：1.5kg/CM</w:t>
            </w:r>
          </w:p>
        </w:tc>
        <w:tc>
          <w:tcPr>
            <w:tcW w:w="2165" w:type="dxa"/>
            <w:vMerge w:val="continue"/>
            <w:vAlign w:val="center"/>
          </w:tcPr>
          <w:p w14:paraId="1B00CBEE">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0C05D5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Merge w:val="continue"/>
            <w:vAlign w:val="center"/>
          </w:tcPr>
          <w:p w14:paraId="67627C9E">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Merge w:val="continue"/>
            <w:vAlign w:val="center"/>
          </w:tcPr>
          <w:p w14:paraId="4853A3D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3854" w:type="dxa"/>
            <w:vAlign w:val="center"/>
          </w:tcPr>
          <w:p w14:paraId="4BC2801F">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9g小舵机</w:t>
            </w:r>
          </w:p>
          <w:p w14:paraId="7FBA047E">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工作电压：4.8-6V DC</w:t>
            </w:r>
          </w:p>
          <w:p w14:paraId="1E4B50CF">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扭矩：1.3</w:t>
            </w:r>
            <w:r>
              <w:rPr>
                <w:rFonts w:hint="eastAsia" w:ascii="仿宋_GB2312" w:hAnsi="仿宋_GB2312" w:eastAsia="仿宋_GB2312" w:cs="仿宋_GB2312"/>
                <w:color w:val="auto"/>
                <w:sz w:val="22"/>
                <w:szCs w:val="22"/>
                <w:lang w:val="en-US" w:eastAsia="zh-CN"/>
              </w:rPr>
              <w:t>-</w:t>
            </w:r>
            <w:r>
              <w:rPr>
                <w:rFonts w:hint="eastAsia" w:ascii="仿宋_GB2312" w:hAnsi="仿宋_GB2312" w:eastAsia="仿宋_GB2312" w:cs="仿宋_GB2312"/>
                <w:color w:val="auto"/>
                <w:sz w:val="22"/>
                <w:szCs w:val="22"/>
              </w:rPr>
              <w:t>1.7kg/cm</w:t>
            </w:r>
          </w:p>
        </w:tc>
        <w:tc>
          <w:tcPr>
            <w:tcW w:w="2165" w:type="dxa"/>
            <w:vMerge w:val="continue"/>
            <w:vAlign w:val="center"/>
          </w:tcPr>
          <w:p w14:paraId="4A67D29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11AD6E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1311" w:hRule="atLeast"/>
          <w:jc w:val="center"/>
        </w:trPr>
        <w:tc>
          <w:tcPr>
            <w:tcW w:w="1342" w:type="dxa"/>
            <w:vMerge w:val="restart"/>
            <w:vAlign w:val="center"/>
          </w:tcPr>
          <w:p w14:paraId="56DA6F4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无线通信</w:t>
            </w:r>
          </w:p>
        </w:tc>
        <w:tc>
          <w:tcPr>
            <w:tcW w:w="1731" w:type="dxa"/>
            <w:vAlign w:val="center"/>
          </w:tcPr>
          <w:p w14:paraId="14EBA9BF">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蓝牙手柄</w:t>
            </w:r>
          </w:p>
        </w:tc>
        <w:tc>
          <w:tcPr>
            <w:tcW w:w="3854" w:type="dxa"/>
            <w:vAlign w:val="center"/>
          </w:tcPr>
          <w:p w14:paraId="2FDBCBA5">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频带范围：2402</w:t>
            </w:r>
            <w:r>
              <w:rPr>
                <w:rFonts w:hint="eastAsia" w:ascii="仿宋_GB2312" w:hAnsi="仿宋_GB2312" w:eastAsia="仿宋_GB2312" w:cs="仿宋_GB2312"/>
                <w:color w:val="auto"/>
                <w:sz w:val="22"/>
                <w:szCs w:val="22"/>
                <w:lang w:val="en-US" w:eastAsia="zh-CN"/>
              </w:rPr>
              <w:t>-</w:t>
            </w:r>
            <w:r>
              <w:rPr>
                <w:rFonts w:hint="eastAsia" w:ascii="仿宋_GB2312" w:hAnsi="仿宋_GB2312" w:eastAsia="仿宋_GB2312" w:cs="仿宋_GB2312"/>
                <w:color w:val="auto"/>
                <w:sz w:val="22"/>
                <w:szCs w:val="22"/>
              </w:rPr>
              <w:t>2480MHz</w:t>
            </w:r>
          </w:p>
          <w:p w14:paraId="1E2048D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天线增益：1.5dBi</w:t>
            </w:r>
          </w:p>
          <w:p w14:paraId="57964587">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工作电流：15mA</w:t>
            </w:r>
          </w:p>
        </w:tc>
        <w:tc>
          <w:tcPr>
            <w:tcW w:w="2165" w:type="dxa"/>
            <w:vAlign w:val="center"/>
          </w:tcPr>
          <w:p w14:paraId="3AF63073">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p>
        </w:tc>
      </w:tr>
      <w:tr w14:paraId="434CCA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2944" w:hRule="atLeast"/>
          <w:jc w:val="center"/>
        </w:trPr>
        <w:tc>
          <w:tcPr>
            <w:tcW w:w="1342" w:type="dxa"/>
            <w:vMerge w:val="continue"/>
            <w:vAlign w:val="center"/>
          </w:tcPr>
          <w:p w14:paraId="457677E7">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p>
        </w:tc>
        <w:tc>
          <w:tcPr>
            <w:tcW w:w="1731" w:type="dxa"/>
            <w:vAlign w:val="center"/>
          </w:tcPr>
          <w:p w14:paraId="6CE2B59A">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蓝牙模块</w:t>
            </w:r>
          </w:p>
        </w:tc>
        <w:tc>
          <w:tcPr>
            <w:tcW w:w="3854" w:type="dxa"/>
            <w:vAlign w:val="center"/>
          </w:tcPr>
          <w:p w14:paraId="505DC93C">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蓝牙版本：BT4.0</w:t>
            </w:r>
          </w:p>
          <w:p w14:paraId="38FDD90A">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频带范围：2402</w:t>
            </w:r>
            <w:r>
              <w:rPr>
                <w:rFonts w:hint="eastAsia" w:ascii="仿宋_GB2312" w:hAnsi="仿宋_GB2312" w:eastAsia="仿宋_GB2312" w:cs="仿宋_GB2312"/>
                <w:color w:val="auto"/>
                <w:sz w:val="22"/>
                <w:szCs w:val="22"/>
                <w:lang w:val="en-US" w:eastAsia="zh-CN"/>
              </w:rPr>
              <w:t>-</w:t>
            </w:r>
            <w:r>
              <w:rPr>
                <w:rFonts w:hint="eastAsia" w:ascii="仿宋_GB2312" w:hAnsi="仿宋_GB2312" w:eastAsia="仿宋_GB2312" w:cs="仿宋_GB2312"/>
                <w:color w:val="auto"/>
                <w:sz w:val="22"/>
                <w:szCs w:val="22"/>
              </w:rPr>
              <w:t>2480MHz</w:t>
            </w:r>
          </w:p>
          <w:p w14:paraId="7D7C3117">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天线增益：1.5dBi</w:t>
            </w:r>
          </w:p>
          <w:p w14:paraId="2074451B">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能耗等级：≤4dBm</w:t>
            </w:r>
          </w:p>
          <w:p w14:paraId="278BD921">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工作电流：15mA</w:t>
            </w:r>
          </w:p>
        </w:tc>
        <w:tc>
          <w:tcPr>
            <w:tcW w:w="2165" w:type="dxa"/>
            <w:vAlign w:val="center"/>
          </w:tcPr>
          <w:p w14:paraId="3B1582EE">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禁止使用除官方配备的蓝牙手柄以外任何形式的无线控制与机器人进行通信，包括但不限于任何人为触发的传感器</w:t>
            </w:r>
          </w:p>
        </w:tc>
      </w:tr>
      <w:tr w14:paraId="433596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1342" w:type="dxa"/>
            <w:vAlign w:val="center"/>
          </w:tcPr>
          <w:p w14:paraId="73F94CF3">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b/>
                <w:bCs/>
                <w:color w:val="auto"/>
                <w:sz w:val="22"/>
                <w:szCs w:val="22"/>
              </w:rPr>
            </w:pPr>
            <w:r>
              <w:rPr>
                <w:rFonts w:hint="eastAsia" w:ascii="仿宋_GB2312" w:hAnsi="仿宋_GB2312" w:eastAsia="仿宋_GB2312" w:cs="仿宋_GB2312"/>
                <w:b/>
                <w:bCs/>
                <w:color w:val="auto"/>
                <w:sz w:val="22"/>
                <w:szCs w:val="22"/>
              </w:rPr>
              <w:t>电池</w:t>
            </w:r>
          </w:p>
        </w:tc>
        <w:tc>
          <w:tcPr>
            <w:tcW w:w="1731" w:type="dxa"/>
            <w:vAlign w:val="center"/>
          </w:tcPr>
          <w:p w14:paraId="3E09FED6">
            <w:pPr>
              <w:pStyle w:val="34"/>
              <w:pageBreakBefore w:val="0"/>
              <w:kinsoku/>
              <w:overflowPunct/>
              <w:topLinePunct w:val="0"/>
              <w:autoSpaceDE/>
              <w:autoSpaceDN/>
              <w:bidi w:val="0"/>
              <w:adjustRightInd w:val="0"/>
              <w:snapToGrid w:val="0"/>
              <w:spacing w:line="360" w:lineRule="auto"/>
              <w:ind w:firstLine="0"/>
              <w:jc w:val="center"/>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18650电池</w:t>
            </w:r>
          </w:p>
        </w:tc>
        <w:tc>
          <w:tcPr>
            <w:tcW w:w="3854" w:type="dxa"/>
            <w:vAlign w:val="center"/>
          </w:tcPr>
          <w:p w14:paraId="20823BA0">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电池参数：3.7V 2500mAh</w:t>
            </w:r>
          </w:p>
          <w:p w14:paraId="3F362179">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输出电压/电流：5V 6A</w:t>
            </w:r>
          </w:p>
        </w:tc>
        <w:tc>
          <w:tcPr>
            <w:tcW w:w="2165" w:type="dxa"/>
            <w:vAlign w:val="center"/>
          </w:tcPr>
          <w:p w14:paraId="1AAEE937">
            <w:pPr>
              <w:pStyle w:val="34"/>
              <w:pageBreakBefore w:val="0"/>
              <w:kinsoku/>
              <w:overflowPunct/>
              <w:topLinePunct w:val="0"/>
              <w:autoSpaceDE/>
              <w:autoSpaceDN/>
              <w:bidi w:val="0"/>
              <w:adjustRightInd w:val="0"/>
              <w:snapToGrid w:val="0"/>
              <w:spacing w:line="360" w:lineRule="auto"/>
              <w:ind w:firstLine="0"/>
              <w:jc w:val="both"/>
              <w:textAlignment w:val="auto"/>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不得擅自改动电池组件，若因此造成意外，需自行承担；不可使用外接电池</w:t>
            </w:r>
          </w:p>
        </w:tc>
      </w:tr>
    </w:tbl>
    <w:p w14:paraId="0B3B35BF">
      <w:pPr>
        <w:pStyle w:val="34"/>
        <w:pageBreakBefore w:val="0"/>
        <w:kinsoku/>
        <w:overflowPunct/>
        <w:topLinePunct w:val="0"/>
        <w:autoSpaceDE/>
        <w:autoSpaceDN/>
        <w:bidi w:val="0"/>
        <w:adjustRightInd w:val="0"/>
        <w:snapToGrid w:val="0"/>
        <w:spacing w:before="156" w:beforeLines="50" w:line="360" w:lineRule="auto"/>
        <w:textAlignment w:val="auto"/>
        <w:rPr>
          <w:rFonts w:hint="eastAsia" w:ascii="仿宋_GB2312" w:hAnsi="仿宋_GB2312" w:eastAsia="仿宋_GB2312" w:cs="仿宋_GB2312"/>
          <w:sz w:val="32"/>
          <w:szCs w:val="32"/>
        </w:rPr>
      </w:pPr>
    </w:p>
    <w:p w14:paraId="6E567275">
      <w:pPr>
        <w:pStyle w:val="34"/>
        <w:pageBreakBefore w:val="0"/>
        <w:kinsoku/>
        <w:overflowPunct/>
        <w:topLinePunct w:val="0"/>
        <w:autoSpaceDE/>
        <w:autoSpaceDN/>
        <w:bidi w:val="0"/>
        <w:adjustRightInd w:val="0"/>
        <w:snapToGrid w:val="0"/>
        <w:spacing w:before="156" w:beforeLines="50"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机器人须符合技术规范的相关要求，不符合技术规范的机器人将不能参加比赛，战队须按照技术规范进行整改直至解决相关问题。</w:t>
      </w:r>
    </w:p>
    <w:p w14:paraId="0BC5C642">
      <w:pPr>
        <w:pStyle w:val="37"/>
        <w:pageBreakBefore w:val="0"/>
        <w:numPr>
          <w:ilvl w:val="1"/>
          <w:numId w:val="0"/>
        </w:numPr>
        <w:kinsoku/>
        <w:overflowPunct/>
        <w:topLinePunct w:val="0"/>
        <w:autoSpaceDE/>
        <w:autoSpaceDN/>
        <w:bidi w:val="0"/>
        <w:adjustRightInd w:val="0"/>
        <w:snapToGrid w:val="0"/>
        <w:spacing w:line="360" w:lineRule="auto"/>
        <w:ind w:leftChars="0"/>
        <w:textAlignment w:val="auto"/>
        <w:rPr>
          <w:rFonts w:hint="eastAsia" w:ascii="仿宋_GB2312" w:hAnsi="仿宋_GB2312" w:eastAsia="仿宋_GB2312" w:cs="仿宋_GB2312"/>
          <w:sz w:val="36"/>
          <w:szCs w:val="36"/>
        </w:rPr>
      </w:pPr>
      <w:bookmarkStart w:id="27" w:name="_Toc15735"/>
      <w:r>
        <w:rPr>
          <w:rFonts w:hint="eastAsia" w:ascii="仿宋_GB2312" w:hAnsi="仿宋_GB2312" w:eastAsia="仿宋_GB2312" w:cs="仿宋_GB2312"/>
          <w:sz w:val="36"/>
          <w:szCs w:val="36"/>
          <w:lang w:val="en-US" w:eastAsia="zh-CN"/>
        </w:rPr>
        <w:t>7.2.</w:t>
      </w:r>
      <w:r>
        <w:rPr>
          <w:rFonts w:hint="eastAsia" w:ascii="仿宋_GB2312" w:hAnsi="仿宋_GB2312" w:eastAsia="仿宋_GB2312" w:cs="仿宋_GB2312"/>
          <w:sz w:val="36"/>
          <w:szCs w:val="36"/>
        </w:rPr>
        <w:t>战队标记物制作规范</w:t>
      </w:r>
      <w:bookmarkEnd w:id="27"/>
    </w:p>
    <w:p w14:paraId="3035EE2C">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战队标记物的制作要求如下：</w:t>
      </w:r>
    </w:p>
    <w:p w14:paraId="0C604E23">
      <w:pPr>
        <w:pStyle w:val="34"/>
        <w:pageBreakBefore w:val="0"/>
        <w:numPr>
          <w:ilvl w:val="0"/>
          <w:numId w:val="17"/>
        </w:numPr>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该自制道具应为立体道具，不限制材质，推荐使用激光切割机</w:t>
      </w:r>
      <w:r>
        <w:rPr>
          <w:rFonts w:hint="eastAsia" w:ascii="仿宋_GB2312" w:hAnsi="仿宋_GB2312" w:eastAsia="仿宋_GB2312" w:cs="仿宋_GB2312"/>
          <w:color w:val="000000" w:themeColor="text1"/>
          <w:sz w:val="32"/>
          <w:szCs w:val="32"/>
          <w:lang w:eastAsia="zh-CN"/>
          <w14:textFill>
            <w14:solidFill>
              <w14:schemeClr w14:val="tx1"/>
            </w14:solidFill>
          </w14:textFill>
        </w:rPr>
        <w:t>或</w:t>
      </w:r>
      <w:r>
        <w:rPr>
          <w:rFonts w:hint="eastAsia" w:ascii="仿宋_GB2312" w:hAnsi="仿宋_GB2312" w:eastAsia="仿宋_GB2312" w:cs="仿宋_GB2312"/>
          <w:color w:val="000000" w:themeColor="text1"/>
          <w:sz w:val="32"/>
          <w:szCs w:val="32"/>
          <w14:textFill>
            <w14:solidFill>
              <w14:schemeClr w14:val="tx1"/>
            </w14:solidFill>
          </w14:textFill>
        </w:rPr>
        <w:t>3D打印机制作而成。高度小于等于100mm，在地面的垂直投影小于等于直径60mm的圆形区域，由于完成相应任务时，需将X信号抬升架横板压下，相应X信号才能抬升，故战队标记物需有一定重量，具体重量不做要求，由战队自行制作。</w:t>
      </w:r>
      <w:bookmarkStart w:id="28" w:name="_Hlk80290347"/>
    </w:p>
    <w:p w14:paraId="7ADEC1F5">
      <w:pPr>
        <w:pStyle w:val="34"/>
        <w:pageBreakBefore w:val="0"/>
        <w:numPr>
          <w:ilvl w:val="0"/>
          <w:numId w:val="17"/>
        </w:numPr>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该道具需要展示战队风貌，组委会鼓励参赛队在道具上绘制个性化的图案或文字，但是须积极向上、能够体现主题和赛事精神，内容须符合国家法律法规要求，若出现不符合要求的内容，裁判有权判定该道具不通过检录。</w:t>
      </w:r>
    </w:p>
    <w:bookmarkEnd w:id="28"/>
    <w:p w14:paraId="41DBD5E4">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战队标记物必须通过机器人检录和赛前检录才可被携带至赛场。</w:t>
      </w:r>
    </w:p>
    <w:p w14:paraId="329CF18E">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11B7EFEC">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558CE122">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65B7BC36">
      <w:pPr>
        <w:pStyle w:val="40"/>
        <w:pageBreakBefore w:val="0"/>
        <w:numPr>
          <w:ilvl w:val="0"/>
          <w:numId w:val="16"/>
        </w:numPr>
        <w:kinsoku/>
        <w:overflowPunct/>
        <w:topLinePunct w:val="0"/>
        <w:autoSpaceDE/>
        <w:autoSpaceDN/>
        <w:bidi w:val="0"/>
        <w:adjustRightInd w:val="0"/>
        <w:snapToGrid w:val="0"/>
        <w:spacing w:line="360" w:lineRule="auto"/>
        <w:ind w:left="425" w:leftChars="0" w:hanging="425" w:firstLineChars="0"/>
        <w:textAlignment w:val="auto"/>
        <w:rPr>
          <w:rFonts w:hint="eastAsia" w:ascii="仿宋_GB2312" w:hAnsi="仿宋_GB2312" w:eastAsia="仿宋_GB2312" w:cs="仿宋_GB2312"/>
          <w:sz w:val="40"/>
          <w:szCs w:val="40"/>
        </w:rPr>
      </w:pPr>
      <w:bookmarkStart w:id="29" w:name="_Toc24674"/>
      <w:r>
        <w:rPr>
          <w:rFonts w:hint="eastAsia" w:ascii="仿宋_GB2312" w:hAnsi="仿宋_GB2312" w:eastAsia="仿宋_GB2312" w:cs="仿宋_GB2312"/>
          <w:sz w:val="40"/>
          <w:szCs w:val="40"/>
        </w:rPr>
        <w:t>比赛规则</w:t>
      </w:r>
      <w:bookmarkEnd w:id="29"/>
    </w:p>
    <w:p w14:paraId="6781626E">
      <w:pPr>
        <w:pStyle w:val="37"/>
        <w:pageBreakBefore w:val="0"/>
        <w:numPr>
          <w:ilvl w:val="1"/>
          <w:numId w:val="16"/>
        </w:numPr>
        <w:kinsoku/>
        <w:overflowPunct/>
        <w:topLinePunct w:val="0"/>
        <w:autoSpaceDE/>
        <w:autoSpaceDN/>
        <w:bidi w:val="0"/>
        <w:adjustRightInd w:val="0"/>
        <w:snapToGrid w:val="0"/>
        <w:spacing w:after="0" w:line="360" w:lineRule="auto"/>
        <w:ind w:left="567" w:leftChars="0" w:hanging="567" w:firstLineChars="0"/>
        <w:textAlignment w:val="auto"/>
        <w:rPr>
          <w:rFonts w:hint="eastAsia" w:ascii="仿宋_GB2312" w:hAnsi="仿宋_GB2312" w:eastAsia="仿宋_GB2312" w:cs="仿宋_GB2312"/>
          <w:sz w:val="36"/>
          <w:szCs w:val="36"/>
        </w:rPr>
      </w:pPr>
      <w:bookmarkStart w:id="30" w:name="_Toc4582"/>
      <w:r>
        <w:rPr>
          <w:rFonts w:hint="eastAsia" w:ascii="仿宋_GB2312" w:hAnsi="仿宋_GB2312" w:eastAsia="仿宋_GB2312" w:cs="仿宋_GB2312"/>
          <w:sz w:val="36"/>
          <w:szCs w:val="36"/>
        </w:rPr>
        <w:t>违规处罚说明</w:t>
      </w:r>
      <w:bookmarkEnd w:id="30"/>
    </w:p>
    <w:p w14:paraId="47CE3F16">
      <w:pPr>
        <w:pStyle w:val="34"/>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规则中包含如下几种判罚方式，其定义或解释如下：</w:t>
      </w:r>
    </w:p>
    <w:p w14:paraId="6B52D2F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违例</w:t>
      </w:r>
    </w:p>
    <w:p w14:paraId="63735864">
      <w:pPr>
        <w:pStyle w:val="97"/>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裁判在发现战队违规后，立即向该战队宣布违例并扣除该战队20分。在此期间，比赛计时将不会停止。</w:t>
      </w:r>
    </w:p>
    <w:p w14:paraId="75E21CF0">
      <w:pPr>
        <w:pStyle w:val="97"/>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ar-SA"/>
          <w14:ligatures w14:val="none"/>
          <w14:numForm w14:val="default"/>
          <w14:numSpacing w14:val="default"/>
          <w14:cntxtalts w14:val="0"/>
        </w:rPr>
        <w:t>（2）</w:t>
      </w:r>
      <w:r>
        <w:rPr>
          <w:rFonts w:hint="eastAsia" w:ascii="仿宋_GB2312" w:hAnsi="仿宋_GB2312" w:eastAsia="仿宋_GB2312" w:cs="仿宋_GB2312"/>
          <w:sz w:val="32"/>
          <w:szCs w:val="32"/>
        </w:rPr>
        <w:t>比赛中，若因违规行为获得了得分优势</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则该得分优势无效，且该得分道具将失效。</w:t>
      </w:r>
    </w:p>
    <w:p w14:paraId="7EAC7490">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得分道具失效</w:t>
      </w:r>
    </w:p>
    <w:p w14:paraId="37AFD64E">
      <w:pPr>
        <w:pStyle w:val="97"/>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若违规触碰场地道具及得分道具，则裁判将宣布相关道具失效。已经失效的得分道具将会被裁判移除出比赛场地，且无法继续获得分数。裁判有权根据本手册内容对该得分道具失效前的最终状态是否计分进行裁定。计分阶段，若得分道具与机器人存在接触，该得分道具无论是否处于得分状态都不算得分。</w:t>
      </w:r>
    </w:p>
    <w:p w14:paraId="491F0A22">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取消本场比赛资格</w:t>
      </w:r>
    </w:p>
    <w:p w14:paraId="46D49683">
      <w:pPr>
        <w:pStyle w:val="97"/>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本场比赛成绩作废，但不影响其他场次比赛。</w:t>
      </w:r>
    </w:p>
    <w:p w14:paraId="649F0976">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取消全场比赛资格</w:t>
      </w:r>
    </w:p>
    <w:p w14:paraId="25C0F853">
      <w:pPr>
        <w:pStyle w:val="97"/>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该战队不得继续参与该场比赛或下一场比赛，所有场次比赛成绩作废，该战队将失去继续参加本次比赛的机会和评奖资格。</w:t>
      </w:r>
    </w:p>
    <w:p w14:paraId="0DF3BB2E">
      <w:pPr>
        <w:pStyle w:val="37"/>
        <w:pageBreakBefore w:val="0"/>
        <w:numPr>
          <w:ilvl w:val="1"/>
          <w:numId w:val="16"/>
        </w:numPr>
        <w:kinsoku/>
        <w:overflowPunct/>
        <w:topLinePunct w:val="0"/>
        <w:autoSpaceDE/>
        <w:autoSpaceDN/>
        <w:bidi w:val="0"/>
        <w:adjustRightInd w:val="0"/>
        <w:snapToGrid w:val="0"/>
        <w:spacing w:line="360" w:lineRule="auto"/>
        <w:ind w:left="567" w:leftChars="0" w:hanging="567" w:firstLineChars="0"/>
        <w:textAlignment w:val="auto"/>
        <w:rPr>
          <w:rFonts w:hint="eastAsia" w:ascii="仿宋_GB2312" w:hAnsi="仿宋_GB2312" w:eastAsia="仿宋_GB2312" w:cs="仿宋_GB2312"/>
          <w:sz w:val="36"/>
          <w:szCs w:val="36"/>
        </w:rPr>
      </w:pPr>
      <w:bookmarkStart w:id="31" w:name="_Toc7999"/>
      <w:r>
        <w:rPr>
          <w:rFonts w:hint="eastAsia" w:ascii="仿宋_GB2312" w:hAnsi="仿宋_GB2312" w:eastAsia="仿宋_GB2312" w:cs="仿宋_GB2312"/>
          <w:sz w:val="36"/>
          <w:szCs w:val="36"/>
        </w:rPr>
        <w:t>安全规则</w:t>
      </w:r>
      <w:bookmarkEnd w:id="31"/>
    </w:p>
    <w:p w14:paraId="1433489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机器人安全</w:t>
      </w:r>
    </w:p>
    <w:p w14:paraId="0E739960">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战队对机器人的设计搭建，须符合技术规范的要求。</w:t>
      </w:r>
    </w:p>
    <w:p w14:paraId="03CFC248">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机器人的各种零部件需安全使用。</w:t>
      </w:r>
    </w:p>
    <w:p w14:paraId="545D05CB">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3</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机器人不可有主动分离零部件（发射、弹射等）的动作。</w:t>
      </w:r>
    </w:p>
    <w:p w14:paraId="77AF78DF">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4</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比赛全程中机器人不得使用包括但不限于双面胶或胶水粘贴场地道具。</w:t>
      </w:r>
    </w:p>
    <w:p w14:paraId="26CC55F6">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5</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裁</w:t>
      </w:r>
      <w:r>
        <w:rPr>
          <w:rFonts w:hint="eastAsia" w:ascii="仿宋_GB2312" w:hAnsi="仿宋_GB2312" w:eastAsia="仿宋_GB2312" w:cs="仿宋_GB2312"/>
          <w:sz w:val="32"/>
          <w:szCs w:val="32"/>
        </w:rPr>
        <w:t>判有权拒绝危险的机器人进入赛场进行比赛</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裁判有权依据机器人危险程度判断是否取消战队全场比赛成绩。</w:t>
      </w:r>
    </w:p>
    <w:p w14:paraId="0B7FC268">
      <w:pPr>
        <w:pStyle w:val="67"/>
        <w:pageBreakBefore w:val="0"/>
        <w:kinsoku/>
        <w:overflowPunct/>
        <w:topLinePunct w:val="0"/>
        <w:autoSpaceDE/>
        <w:autoSpaceDN/>
        <w:bidi w:val="0"/>
        <w:adjustRightInd w:val="0"/>
        <w:snapToGrid w:val="0"/>
        <w:spacing w:line="360" w:lineRule="auto"/>
        <w:jc w:val="left"/>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参赛队员安全规则</w:t>
      </w:r>
    </w:p>
    <w:p w14:paraId="3F51D816">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参赛队员需在指导教师的引导下，仔细阅读本手册后，进行比赛的准备与机器人的设计搭建。</w:t>
      </w:r>
    </w:p>
    <w:p w14:paraId="41DBA8B2">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参赛队员在备赛的过程中不可擅自进行危险操作。</w:t>
      </w:r>
    </w:p>
    <w:p w14:paraId="22E3934D">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3</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在使用工具（螺丝刀、锋利刀具）等危险物品时需注意安全。</w:t>
      </w:r>
    </w:p>
    <w:p w14:paraId="0F96B443">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4</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比赛中，留长发者，须将长发扎起；战队禁止穿露脚趾的鞋进入</w:t>
      </w:r>
      <w:r>
        <w:rPr>
          <w:rFonts w:hint="eastAsia" w:ascii="仿宋_GB2312" w:hAnsi="仿宋_GB2312" w:eastAsia="仿宋_GB2312" w:cs="仿宋_GB2312"/>
          <w:sz w:val="32"/>
          <w:szCs w:val="32"/>
        </w:rPr>
        <w:t xml:space="preserve">赛场。 </w:t>
      </w:r>
    </w:p>
    <w:p w14:paraId="08882865">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5</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比赛中，战队不可进行按压赛台，破坏场地道具等危险动作。</w:t>
      </w:r>
    </w:p>
    <w:p w14:paraId="76168312">
      <w:pPr>
        <w:pStyle w:val="94"/>
        <w:pageBreakBefore w:val="0"/>
        <w:numPr>
          <w:ilvl w:val="0"/>
          <w:numId w:val="0"/>
        </w:numPr>
        <w:kinsoku/>
        <w:overflowPunct/>
        <w:topLinePunct w:val="0"/>
        <w:autoSpaceDE/>
        <w:autoSpaceDN/>
        <w:bidi w:val="0"/>
        <w:adjustRightInd w:val="0"/>
        <w:snapToGrid w:val="0"/>
        <w:spacing w:line="360" w:lineRule="auto"/>
        <w:ind w:firstLine="640" w:firstLineChars="200"/>
        <w:jc w:val="left"/>
        <w:textAlignment w:val="auto"/>
        <w:rPr>
          <w:rFonts w:hint="eastAsia" w:ascii="仿宋_GB2312" w:hAnsi="仿宋_GB2312" w:eastAsia="仿宋_GB2312" w:cs="仿宋_GB2312"/>
          <w:sz w:val="32"/>
          <w:szCs w:val="32"/>
        </w:rPr>
      </w:pPr>
      <w:r>
        <w:rPr>
          <w:rStyle w:val="53"/>
          <w:rFonts w:hint="eastAsia" w:ascii="仿宋_GB2312" w:hAnsi="仿宋_GB2312" w:eastAsia="仿宋_GB2312" w:cs="仿宋_GB2312"/>
          <w:color w:val="000000" w:themeColor="text1"/>
          <w:sz w:val="32"/>
          <w:szCs w:val="32"/>
          <w14:textFill>
            <w14:solidFill>
              <w14:schemeClr w14:val="tx1"/>
            </w14:solidFill>
          </w14:textFill>
        </w:rPr>
        <w:t>如不符合以上要求，裁判可拒绝战队进入赛场进行比赛，要求战队整改直至解决相关问题；裁判可依据危险程度判断是否当场取消战队全场比赛成绩</w:t>
      </w:r>
      <w:r>
        <w:rPr>
          <w:rFonts w:hint="eastAsia" w:ascii="仿宋_GB2312" w:hAnsi="仿宋_GB2312" w:eastAsia="仿宋_GB2312" w:cs="仿宋_GB2312"/>
          <w:sz w:val="32"/>
          <w:szCs w:val="32"/>
        </w:rPr>
        <w:t>。</w:t>
      </w:r>
    </w:p>
    <w:p w14:paraId="7B4764A0">
      <w:pPr>
        <w:pStyle w:val="37"/>
        <w:pageBreakBefore w:val="0"/>
        <w:numPr>
          <w:ilvl w:val="1"/>
          <w:numId w:val="16"/>
        </w:numPr>
        <w:kinsoku/>
        <w:overflowPunct/>
        <w:topLinePunct w:val="0"/>
        <w:autoSpaceDE/>
        <w:autoSpaceDN/>
        <w:bidi w:val="0"/>
        <w:adjustRightInd w:val="0"/>
        <w:snapToGrid w:val="0"/>
        <w:spacing w:line="360" w:lineRule="auto"/>
        <w:ind w:left="567" w:leftChars="0" w:hanging="567" w:firstLineChars="0"/>
        <w:textAlignment w:val="auto"/>
        <w:rPr>
          <w:rFonts w:hint="eastAsia" w:ascii="仿宋_GB2312" w:hAnsi="仿宋_GB2312" w:eastAsia="仿宋_GB2312" w:cs="仿宋_GB2312"/>
          <w:sz w:val="36"/>
          <w:szCs w:val="36"/>
        </w:rPr>
      </w:pPr>
      <w:bookmarkStart w:id="32" w:name="_Toc32636"/>
      <w:r>
        <w:rPr>
          <w:rFonts w:hint="eastAsia" w:ascii="仿宋_GB2312" w:hAnsi="仿宋_GB2312" w:eastAsia="仿宋_GB2312" w:cs="仿宋_GB2312"/>
          <w:sz w:val="36"/>
          <w:szCs w:val="36"/>
        </w:rPr>
        <w:t>操作规则</w:t>
      </w:r>
      <w:bookmarkEnd w:id="32"/>
    </w:p>
    <w:p w14:paraId="1D05A7E3">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参赛队员站位及换位规则</w:t>
      </w:r>
    </w:p>
    <w:p w14:paraId="2790242F">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比赛全程，参赛队员须站在规定区域进行比赛。自动控制阶段，参赛队员须站在自动任务区的规定操作区域。手动控制阶段，每支战队可由一名操作手与一名观察手在图示区域内进行比赛，参赛队员不可在操作区外进行比赛。如战队仅有一名参赛队员，则须选择其中一个比赛角色进行比赛，不可同时扮演操作手和观察手的角色（例：操作手不可拿着手柄在观察手区操作机器），操作区域实际大小视比赛现场情况而定。</w:t>
      </w:r>
    </w:p>
    <w:p w14:paraId="789BC0D3">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手动控制阶段中，若操作手与观察手须要更换角色，须向裁判喊出“红方申请换位”或“蓝方申请换位”。得到裁判许可后，停止当前操作，前往另一区域继续比赛。更换角色期间，比赛继续正常计时。操作手申请换位至观察手时，需要将蓝牙手柄放置于场地启动区内，再进行换位。</w:t>
      </w:r>
    </w:p>
    <w:p w14:paraId="5017115E">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以下行为将会被判违例：手动控制阶段，未经裁判允许自行进行角色更换；手动控制阶段申请换位后，操作手手持蓝牙手柄进行换位；手动控制阶段时，手持蓝牙手柄在观察手区进行操作机器人。</w:t>
      </w:r>
    </w:p>
    <w:p w14:paraId="046637D1">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p>
    <w:p w14:paraId="07ABF323">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4707255" cy="3797300"/>
            <wp:effectExtent l="0" t="0" r="0" b="0"/>
            <wp:docPr id="14594051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05140" name="图片 1"/>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707255" cy="3797300"/>
                    </a:xfrm>
                    <a:prstGeom prst="rect">
                      <a:avLst/>
                    </a:prstGeom>
                  </pic:spPr>
                </pic:pic>
              </a:graphicData>
            </a:graphic>
          </wp:inline>
        </w:drawing>
      </w:r>
    </w:p>
    <w:p w14:paraId="77A253C2">
      <w:pPr>
        <w:pStyle w:val="94"/>
        <w:pageBreakBefore w:val="0"/>
        <w:numPr>
          <w:ilvl w:val="0"/>
          <w:numId w:val="0"/>
        </w:numPr>
        <w:kinsoku/>
        <w:overflowPunct/>
        <w:topLinePunct w:val="0"/>
        <w:autoSpaceDE/>
        <w:autoSpaceDN/>
        <w:bidi w:val="0"/>
        <w:adjustRightInd w:val="0"/>
        <w:snapToGrid w:val="0"/>
        <w:spacing w:line="360" w:lineRule="auto"/>
        <w:ind w:firstLine="200"/>
        <w:jc w:val="center"/>
        <w:textAlignment w:val="auto"/>
        <w:rPr>
          <w:rFonts w:hint="eastAsia" w:ascii="仿宋_GB2312" w:hAnsi="仿宋_GB2312" w:eastAsia="仿宋_GB2312" w:cs="仿宋_GB2312"/>
          <w:sz w:val="28"/>
          <w:szCs w:val="28"/>
        </w:rPr>
      </w:pPr>
      <w:r>
        <w:rPr>
          <w:rFonts w:hint="eastAsia" w:ascii="仿宋_GB2312" w:hAnsi="仿宋_GB2312" w:eastAsia="仿宋_GB2312" w:cs="仿宋_GB2312"/>
          <w:bCs/>
          <w:color w:val="000000" w:themeColor="text1"/>
          <w:sz w:val="28"/>
          <w:szCs w:val="28"/>
          <w14:textFill>
            <w14:solidFill>
              <w14:schemeClr w14:val="tx1"/>
            </w14:solidFill>
          </w14:textFill>
        </w:rPr>
        <w:t>图</w:t>
      </w:r>
      <w:r>
        <w:rPr>
          <w:rFonts w:hint="eastAsia" w:ascii="仿宋_GB2312" w:hAnsi="仿宋_GB2312" w:eastAsia="仿宋_GB2312" w:cs="仿宋_GB2312"/>
          <w:bCs/>
          <w:color w:val="000000" w:themeColor="text1"/>
          <w:sz w:val="28"/>
          <w:szCs w:val="28"/>
          <w:lang w:val="en-US" w:eastAsia="zh-CN"/>
          <w14:textFill>
            <w14:solidFill>
              <w14:schemeClr w14:val="tx1"/>
            </w14:solidFill>
          </w14:textFill>
        </w:rPr>
        <w:t>8</w:t>
      </w:r>
      <w:r>
        <w:rPr>
          <w:rFonts w:hint="eastAsia" w:ascii="仿宋_GB2312" w:hAnsi="仿宋_GB2312" w:eastAsia="仿宋_GB2312" w:cs="仿宋_GB2312"/>
          <w:bCs/>
          <w:color w:val="000000" w:themeColor="text1"/>
          <w:sz w:val="28"/>
          <w:szCs w:val="28"/>
          <w14:textFill>
            <w14:solidFill>
              <w14:schemeClr w14:val="tx1"/>
            </w14:solidFill>
          </w14:textFill>
        </w:rPr>
        <w:t>.3-1 选手站位示意图</w:t>
      </w:r>
    </w:p>
    <w:p w14:paraId="478424D2">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sz w:val="32"/>
          <w:szCs w:val="32"/>
        </w:rPr>
      </w:pPr>
    </w:p>
    <w:p w14:paraId="61EDA49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机器人的启动、重启与改装规则</w:t>
      </w:r>
    </w:p>
    <w:p w14:paraId="52E9B6A2">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参赛队员应在裁判宣布比赛开始后启动机器人。若机器人提前发生位移，则视为机器人提前启动。机器人启动时，需完全进入启动区。</w:t>
      </w:r>
    </w:p>
    <w:p w14:paraId="26177D1F">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参赛队员在比赛过程中，可以随时向裁判申请重启或改装机器人，在获得许可后，参赛队员可对本方机器人进行重启或改装。比赛不会因机器人重启和改装而暂停，计时将持续进行。</w:t>
      </w:r>
    </w:p>
    <w:p w14:paraId="06A7BCAE">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3</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如参赛队员选择重启或改装本方机器人，参赛队员须向裁判举手并喊出“红/蓝方请求，重启”，并在裁判喊出“同意红/蓝方重启 ”后方可取出本方机器人进行重启或改装，战队不得未经裁判允许擅自重启机器人。</w:t>
      </w:r>
    </w:p>
    <w:p w14:paraId="677CA65C">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4</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在自动控制阶段，获得裁判的重启许可后，参赛选手可直接接触机器人；在手动控制阶段，仅操作手在获得裁判的重启许后，可直接接触机器人。</w:t>
      </w:r>
    </w:p>
    <w:p w14:paraId="43BC3B33">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5</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机器人重启或改装后，需要从启动区重新出发，机器人需完全进入启动区。</w:t>
      </w:r>
    </w:p>
    <w:p w14:paraId="39B073F6">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6</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改装区域为启动区内及赛场外。</w:t>
      </w:r>
    </w:p>
    <w:p w14:paraId="6E7B3FBA">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若机器人位于参赛队员无法触碰的区域，参赛队员可向裁判举手并喊出“红/蓝方请求，请求裁判代取”后，由裁判代为取出，由于裁判代取机器人而带来的违规判罚由战队自行承担。</w:t>
      </w:r>
    </w:p>
    <w:p w14:paraId="19D6BB0D">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以下行为将会被判罚违例：提前启动机器人；机器人启动时未完全进入启动区；重启或改装机器人时未向裁判员申请；未在改装区域进行改装；手动控制阶段，观察手直接或间接接触机器人。</w:t>
      </w:r>
    </w:p>
    <w:p w14:paraId="75A25E70">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比赛期间道具的相关规则</w:t>
      </w:r>
    </w:p>
    <w:p w14:paraId="3F449E4F">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val="0"/>
          <w:sz w:val="32"/>
          <w:szCs w:val="32"/>
        </w:rPr>
      </w:pPr>
      <w:r>
        <w:rPr>
          <w:rFonts w:hint="eastAsia" w:ascii="仿宋_GB2312" w:hAnsi="仿宋_GB2312" w:eastAsia="仿宋_GB2312" w:cs="仿宋_GB2312"/>
          <w:b w:val="0"/>
          <w:bCs w:val="0"/>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val="0"/>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val="0"/>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val="0"/>
          <w:sz w:val="32"/>
          <w:szCs w:val="32"/>
        </w:rPr>
        <w:t>单场比赛全程，得分道具在任意时刻的投影不得完全离开比赛场地。否则，在比赛期间该得分道具失效且无法再次被放回比赛场地内。</w:t>
      </w:r>
    </w:p>
    <w:p w14:paraId="1CDE42C7">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val="0"/>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val="0"/>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val="0"/>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观察手可以直接接触完全进入手动装载区的</w:t>
      </w:r>
      <w:r>
        <w:rPr>
          <w:rFonts w:hint="eastAsia" w:ascii="仿宋_GB2312" w:hAnsi="仿宋_GB2312" w:eastAsia="仿宋_GB2312" w:cs="仿宋_GB2312"/>
          <w:color w:val="000000" w:themeColor="text1"/>
          <w:sz w:val="32"/>
          <w:szCs w:val="32"/>
          <w14:textFill>
            <w14:solidFill>
              <w14:schemeClr w14:val="tx1"/>
            </w14:solidFill>
          </w14:textFill>
        </w:rPr>
        <w:t>黄色方块</w:t>
      </w:r>
      <w:r>
        <w:rPr>
          <w:rFonts w:hint="eastAsia" w:ascii="仿宋_GB2312" w:hAnsi="仿宋_GB2312" w:eastAsia="仿宋_GB2312" w:cs="仿宋_GB2312"/>
          <w:sz w:val="32"/>
          <w:szCs w:val="32"/>
        </w:rPr>
        <w:t>道具。</w:t>
      </w:r>
    </w:p>
    <w:p w14:paraId="09F9E6A7">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a.</w:t>
      </w:r>
      <w:r>
        <w:rPr>
          <w:rFonts w:hint="eastAsia" w:ascii="仿宋_GB2312" w:hAnsi="仿宋_GB2312" w:eastAsia="仿宋_GB2312" w:cs="仿宋_GB2312"/>
          <w:sz w:val="32"/>
          <w:szCs w:val="32"/>
        </w:rPr>
        <w:t>直接接触：选手身体的任意部位（包括头发、手等）、挂在身上的饰品或证件，与场上的道具存在接触，视为直接接触；</w:t>
      </w:r>
    </w:p>
    <w:p w14:paraId="29BDE3F2">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b.</w:t>
      </w:r>
      <w:r>
        <w:rPr>
          <w:rFonts w:hint="eastAsia" w:ascii="仿宋_GB2312" w:hAnsi="仿宋_GB2312" w:eastAsia="仿宋_GB2312" w:cs="仿宋_GB2312"/>
          <w:sz w:val="32"/>
          <w:szCs w:val="32"/>
        </w:rPr>
        <w:t>间接接触：参赛队员申请重启后取机器人时，参赛队员与机器人发生接触时，机器人与道具之间存在物理接触。</w:t>
      </w:r>
    </w:p>
    <w:p w14:paraId="00B3CF2B">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c.</w:t>
      </w:r>
      <w:r>
        <w:rPr>
          <w:rFonts w:hint="eastAsia" w:ascii="仿宋_GB2312" w:hAnsi="仿宋_GB2312" w:eastAsia="仿宋_GB2312" w:cs="仿宋_GB2312"/>
          <w:sz w:val="32"/>
          <w:szCs w:val="32"/>
        </w:rPr>
        <w:t>以下行为将会被判罚违例：比赛期间，除观察手可以直接接触完全进入手动装载区的</w:t>
      </w:r>
      <w:r>
        <w:rPr>
          <w:rFonts w:hint="eastAsia" w:ascii="仿宋_GB2312" w:hAnsi="仿宋_GB2312" w:eastAsia="仿宋_GB2312" w:cs="仿宋_GB2312"/>
          <w:color w:val="000000" w:themeColor="text1"/>
          <w:sz w:val="32"/>
          <w:szCs w:val="32"/>
          <w14:textFill>
            <w14:solidFill>
              <w14:schemeClr w14:val="tx1"/>
            </w14:solidFill>
          </w14:textFill>
        </w:rPr>
        <w:t>黄色方块</w:t>
      </w:r>
      <w:r>
        <w:rPr>
          <w:rFonts w:hint="eastAsia" w:ascii="仿宋_GB2312" w:hAnsi="仿宋_GB2312" w:eastAsia="仿宋_GB2312" w:cs="仿宋_GB2312"/>
          <w:sz w:val="32"/>
          <w:szCs w:val="32"/>
        </w:rPr>
        <w:t xml:space="preserve">道具情况外，参赛队员直接或间接触碰场上得分道具或任务道具； </w:t>
      </w:r>
    </w:p>
    <w:p w14:paraId="1ADF0706">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d.</w:t>
      </w:r>
      <w:r>
        <w:rPr>
          <w:rFonts w:hint="eastAsia" w:ascii="仿宋_GB2312" w:hAnsi="仿宋_GB2312" w:eastAsia="仿宋_GB2312" w:cs="仿宋_GB2312"/>
          <w:sz w:val="32"/>
          <w:szCs w:val="32"/>
        </w:rPr>
        <w:t>以下行为将会被判得分道具失效：比赛期间，参赛队员直接或间接接触得分道具，被接触的得分道具，将会失效被移出场地外。</w:t>
      </w:r>
    </w:p>
    <w:p w14:paraId="184C0C03">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比赛期间机器人活动范围</w:t>
      </w:r>
    </w:p>
    <w:p w14:paraId="45421D12">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bookmarkStart w:id="33" w:name="_Hlk149297305"/>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自动控制阶段，机器人可在自动任务区内完成任务，机器人垂直投影可部分进入手动任务区，如机器人垂直投影已完全进入手动任务区，则机器人不得返回手动任务区；手动控制阶段，机器人需在手动任务区内完成任务，机器人的任意部分垂直投影均不可进入自动任务区。</w:t>
      </w:r>
      <w:bookmarkEnd w:id="33"/>
    </w:p>
    <w:p w14:paraId="25E765D2">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自动控制阶段时，机器人可在己方及联盟任务区进行活动。</w:t>
      </w:r>
    </w:p>
    <w:p w14:paraId="7B5E962F">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a.</w:t>
      </w:r>
      <w:r>
        <w:rPr>
          <w:rFonts w:hint="eastAsia" w:ascii="仿宋_GB2312" w:hAnsi="仿宋_GB2312" w:eastAsia="仿宋_GB2312" w:cs="仿宋_GB2312"/>
          <w:sz w:val="32"/>
          <w:szCs w:val="32"/>
        </w:rPr>
        <w:t>以下行为将会被判罚违例：手动控制阶段，机器人垂直投影完全或部分进入自动任务区；自动控制阶段，己方机器人完全进入对方战队的独立任务区；</w:t>
      </w:r>
    </w:p>
    <w:p w14:paraId="601588D3">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b.</w:t>
      </w:r>
      <w:r>
        <w:rPr>
          <w:rFonts w:hint="eastAsia" w:ascii="仿宋_GB2312" w:hAnsi="仿宋_GB2312" w:eastAsia="仿宋_GB2312" w:cs="仿宋_GB2312"/>
          <w:sz w:val="32"/>
          <w:szCs w:val="32"/>
        </w:rPr>
        <w:t>以下行为将会被判罚取消本场比赛资格：自动控制阶段，己方机器人进入对方战队独立任务区后，拒绝重启机器人；自动控制阶段，己方机器人多次进入（3次及以上）对方战队的独立任务区。</w:t>
      </w:r>
    </w:p>
    <w:p w14:paraId="6E17C06E">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比赛期间电子通讯设备及编程工具的使用</w:t>
      </w:r>
    </w:p>
    <w:p w14:paraId="5336FAD9">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选手仅可在手动控制阶段使用蓝牙手柄对己方机器人进行控制。</w:t>
      </w:r>
    </w:p>
    <w:p w14:paraId="3DEDB87B">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比赛期间，战队</w:t>
      </w:r>
      <w:r>
        <w:rPr>
          <w:rFonts w:hint="eastAsia" w:ascii="仿宋_GB2312" w:hAnsi="仿宋_GB2312" w:eastAsia="仿宋_GB2312" w:cs="仿宋_GB2312"/>
          <w:sz w:val="32"/>
          <w:szCs w:val="32"/>
          <w14:scene3d>
            <w14:lightRig w14:rig="threePt" w14:dir="t">
              <w14:rot w14:lat="0" w14:lon="0" w14:rev="0"/>
            </w14:lightRig>
          </w14:scene3d>
        </w:rPr>
        <w:t>不允许</w:t>
      </w:r>
      <w:r>
        <w:rPr>
          <w:rFonts w:hint="eastAsia" w:ascii="仿宋_GB2312" w:hAnsi="仿宋_GB2312" w:eastAsia="仿宋_GB2312" w:cs="仿宋_GB2312"/>
          <w:sz w:val="32"/>
          <w:szCs w:val="32"/>
        </w:rPr>
        <w:t>携带电脑、平板等可用于编程的工具进入赛场区；比赛期间，战队不允许使用电子通讯设备（包括但不仅限于手机、对讲机等）。</w:t>
      </w:r>
    </w:p>
    <w:p w14:paraId="7A9B8C37">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以下行为将会被判罚取消本场比赛资格：携带编程工具进入赛场区，经裁判提醒，仍拒绝送至场外或继续使用；使用电子通讯设备，经裁判提醒，仍继续使用；自动控制阶段，使用蓝牙手柄操控机器人。</w:t>
      </w:r>
    </w:p>
    <w:p w14:paraId="12282A1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比赛期间场地相关规则</w:t>
      </w:r>
    </w:p>
    <w:p w14:paraId="03EE1C3A">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b w:val="0"/>
          <w:bCs/>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1</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sz w:val="32"/>
          <w:szCs w:val="32"/>
        </w:rPr>
        <w:t xml:space="preserve">比赛期间，选手不可故意按压或撞击比赛场地。 </w:t>
      </w:r>
    </w:p>
    <w:p w14:paraId="62654F1A">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2</w:t>
      </w:r>
      <w:r>
        <w:rPr>
          <w:rFonts w:hint="eastAsia" w:ascii="仿宋_GB2312" w:hAnsi="仿宋_GB2312" w:eastAsia="仿宋_GB2312" w:cs="仿宋_GB2312"/>
          <w:b w:val="0"/>
          <w:bCs/>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w:t>
      </w:r>
      <w:r>
        <w:rPr>
          <w:rFonts w:hint="eastAsia" w:ascii="仿宋_GB2312" w:hAnsi="仿宋_GB2312" w:eastAsia="仿宋_GB2312" w:cs="仿宋_GB2312"/>
          <w:sz w:val="32"/>
          <w:szCs w:val="32"/>
        </w:rPr>
        <w:t>在比赛全过程中，参赛队员、机器人不得故意毁坏场地元素。</w:t>
      </w:r>
    </w:p>
    <w:p w14:paraId="0E7E5842">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以下行为将会被判罚违例：</w:t>
      </w:r>
    </w:p>
    <w:p w14:paraId="02EEA1AA">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a.</w:t>
      </w:r>
      <w:r>
        <w:rPr>
          <w:rFonts w:hint="eastAsia" w:ascii="仿宋_GB2312" w:hAnsi="仿宋_GB2312" w:eastAsia="仿宋_GB2312" w:cs="仿宋_GB2312"/>
          <w:sz w:val="32"/>
          <w:szCs w:val="32"/>
        </w:rPr>
        <w:t>故意撞击场地或按压场地；故意损毁场地元素；</w:t>
      </w:r>
    </w:p>
    <w:p w14:paraId="692D9A7A">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b/>
          <w:color w:val="2E75B6" w:themeColor="accent1" w:themeShade="BF"/>
          <w:sz w:val="32"/>
          <w:szCs w:val="32"/>
          <w:lang w:val="en-US"/>
        </w:rPr>
      </w:pPr>
      <w:r>
        <w:rPr>
          <w:rFonts w:hint="eastAsia" w:ascii="仿宋_GB2312" w:hAnsi="仿宋_GB2312" w:eastAsia="仿宋_GB2312" w:cs="仿宋_GB2312"/>
          <w:sz w:val="32"/>
          <w:szCs w:val="32"/>
          <w:lang w:val="en-US" w:eastAsia="zh-CN"/>
        </w:rPr>
        <w:t>b.</w:t>
      </w:r>
      <w:r>
        <w:rPr>
          <w:rFonts w:hint="eastAsia" w:ascii="仿宋_GB2312" w:hAnsi="仿宋_GB2312" w:eastAsia="仿宋_GB2312" w:cs="仿宋_GB2312"/>
          <w:sz w:val="32"/>
          <w:szCs w:val="32"/>
        </w:rPr>
        <w:t>如因此违例行为而获得得分优势，则该得分无效，与该行为相关的得分道具也将被移出场外。</w:t>
      </w:r>
    </w:p>
    <w:p w14:paraId="6A38DB1B">
      <w:pPr>
        <w:pStyle w:val="94"/>
        <w:pageBreakBefore w:val="0"/>
        <w:numPr>
          <w:ilvl w:val="0"/>
          <w:numId w:val="0"/>
        </w:numPr>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color w:val="2E75B6" w:themeColor="accent1" w:themeShade="BF"/>
          <w:sz w:val="32"/>
          <w:szCs w:val="32"/>
          <w:lang w:val="en-US"/>
        </w:rPr>
      </w:pPr>
      <w:r>
        <w:rPr>
          <w:rFonts w:hint="eastAsia" w:ascii="仿宋_GB2312" w:hAnsi="仿宋_GB2312" w:eastAsia="仿宋_GB2312" w:cs="仿宋_GB2312"/>
          <w:b/>
          <w:color w:val="2E75B6" w:themeColor="accent1" w:themeShade="BF"/>
          <w:sz w:val="32"/>
          <w:szCs w:val="32"/>
          <w:lang w:val="en-US"/>
        </w:rPr>
        <w:t>按时到达赛场</w:t>
      </w:r>
    </w:p>
    <w:p w14:paraId="557A996E">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战队在实际比赛规定赛程中，需按照赛程，按时抵达赛场；如实际赛程有变化，则以现场通知赛程为准。</w:t>
      </w:r>
    </w:p>
    <w:p w14:paraId="30BC2DA3">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以下行为将会被判罚取消战队本场比赛资格：实际比赛规定赛程中，超过5分钟未抵达赛场。</w:t>
      </w:r>
    </w:p>
    <w:p w14:paraId="1D7E22BC">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违规使用机器人</w:t>
      </w:r>
    </w:p>
    <w:p w14:paraId="0B073521">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全场比赛期间，战队机器人检录通过后，该战队仅可使用通过检录的机器人进行比赛，严禁战队更换机器人，严禁战队使用未通过检录的机器人。仅可使用本战队机器人，禁止使用其他战队机器人，或交换机器人使用。</w:t>
      </w:r>
    </w:p>
    <w:p w14:paraId="2E8DFA9F">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违规判罚：取消双方战队全场比赛资格</w:t>
      </w:r>
    </w:p>
    <w:p w14:paraId="17D4721E">
      <w:pPr>
        <w:pStyle w:val="94"/>
        <w:pageBreakBefore w:val="0"/>
        <w:numPr>
          <w:ilvl w:val="0"/>
          <w:numId w:val="0"/>
        </w:numPr>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color w:val="2E75B6" w:themeColor="accent1" w:themeShade="BF"/>
          <w:sz w:val="32"/>
          <w:szCs w:val="32"/>
          <w:lang w:val="en-US"/>
        </w:rPr>
      </w:pPr>
      <w:r>
        <w:rPr>
          <w:rFonts w:hint="eastAsia" w:ascii="仿宋_GB2312" w:hAnsi="仿宋_GB2312" w:eastAsia="仿宋_GB2312" w:cs="仿宋_GB2312"/>
          <w:b/>
          <w:color w:val="2E75B6" w:themeColor="accent1" w:themeShade="BF"/>
          <w:sz w:val="32"/>
          <w:szCs w:val="32"/>
          <w:lang w:val="en-US"/>
        </w:rPr>
        <w:t>损坏他人机器人</w:t>
      </w:r>
    </w:p>
    <w:p w14:paraId="4C2A9FE5">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全场比赛期间（含比赛、候赛、调试等环节），严禁以任何形式损坏或破坏其他队伍的机器人。若裁判组或赛事组委会通过现场观察、录像回放、赛后检验等方式，确认某队伍存在损坏他人机器人的行为，则损坏他人机器人行为成立。</w:t>
      </w:r>
    </w:p>
    <w:p w14:paraId="136ED215">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违规判罚：取消该战队全场比赛资格；</w:t>
      </w:r>
    </w:p>
    <w:p w14:paraId="5D9CCCF1">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场外指导</w:t>
      </w:r>
    </w:p>
    <w:p w14:paraId="67963495">
      <w:pPr>
        <w:pStyle w:val="94"/>
        <w:pageBreakBefore w:val="0"/>
        <w:numPr>
          <w:ilvl w:val="0"/>
          <w:numId w:val="0"/>
        </w:numPr>
        <w:kinsoku/>
        <w:overflowPunct/>
        <w:topLinePunct w:val="0"/>
        <w:autoSpaceDE/>
        <w:autoSpaceDN/>
        <w:bidi w:val="0"/>
        <w:adjustRightInd w:val="0"/>
        <w:snapToGrid w:val="0"/>
        <w:spacing w:line="360" w:lineRule="auto"/>
        <w:ind w:firstLine="321" w:firstLineChars="100"/>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val="0"/>
          <w:i w:val="0"/>
          <w:iCs w:val="0"/>
          <w:caps w:val="0"/>
          <w:smallCaps w:val="0"/>
          <w:strike w:val="0"/>
          <w:dstrike w:val="0"/>
          <w:outline w:val="0"/>
          <w:shadow w:val="0"/>
          <w:emboss w:val="0"/>
          <w:imprint w:val="0"/>
          <w:vanish w:val="0"/>
          <w:spacing w:val="0"/>
          <w:kern w:val="2"/>
          <w:position w:val="0"/>
          <w:sz w:val="32"/>
          <w:szCs w:val="32"/>
          <w:u w:val="none"/>
          <w:vertAlign w:val="baseline"/>
          <w:lang w:val="en-GB"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仿宋_GB2312" w:hAnsi="仿宋_GB2312" w:eastAsia="仿宋_GB2312" w:cs="仿宋_GB2312"/>
          <w:b/>
          <w:bCs w:val="0"/>
          <w:i w:val="0"/>
          <w:iCs w:val="0"/>
          <w:caps w:val="0"/>
          <w:smallCaps w:val="0"/>
          <w:strike w:val="0"/>
          <w:dstrike w:val="0"/>
          <w:outline w:val="0"/>
          <w:shadow w:val="0"/>
          <w:emboss w:val="0"/>
          <w:imprint w:val="0"/>
          <w:vanish w:val="0"/>
          <w:spacing w:val="0"/>
          <w:kern w:val="2"/>
          <w:position w:val="0"/>
          <w:sz w:val="32"/>
          <w:szCs w:val="32"/>
          <w:u w:val="none"/>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仿宋_GB2312" w:hAnsi="仿宋_GB2312" w:eastAsia="仿宋_GB2312" w:cs="仿宋_GB2312"/>
          <w:sz w:val="32"/>
          <w:szCs w:val="32"/>
        </w:rPr>
        <w:t>比赛过程中，不得出现赛场外的指导行为。</w:t>
      </w:r>
    </w:p>
    <w:p w14:paraId="7A0FF9F0">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违规判罚：首次给予口头警告，二次违规将判罚违例，情况严重者取消战队本场比赛资格。</w:t>
      </w:r>
    </w:p>
    <w:p w14:paraId="373675C7">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过分行为</w:t>
      </w:r>
    </w:p>
    <w:p w14:paraId="632A6133">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在全场比赛期间，出现包括但不限于以下情形的，情节恶劣者裁判有权取消全场比赛成绩：</w:t>
      </w:r>
    </w:p>
    <w:p w14:paraId="2620DB57">
      <w:pPr>
        <w:pStyle w:val="3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a.</w:t>
      </w:r>
      <w:r>
        <w:rPr>
          <w:rFonts w:hint="eastAsia" w:ascii="仿宋_GB2312" w:hAnsi="仿宋_GB2312" w:eastAsia="仿宋_GB2312" w:cs="仿宋_GB2312"/>
          <w:sz w:val="32"/>
          <w:szCs w:val="32"/>
        </w:rPr>
        <w:t>不礼貌行为（辱骂，脏话，肢体接触）。</w:t>
      </w:r>
    </w:p>
    <w:p w14:paraId="558B5320">
      <w:pPr>
        <w:pStyle w:val="3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b.</w:t>
      </w:r>
      <w:r>
        <w:rPr>
          <w:rFonts w:hint="eastAsia" w:ascii="仿宋_GB2312" w:hAnsi="仿宋_GB2312" w:eastAsia="仿宋_GB2312" w:cs="仿宋_GB2312"/>
          <w:sz w:val="32"/>
          <w:szCs w:val="32"/>
        </w:rPr>
        <w:t>严重影响比赛场地、观众安全导致比赛无法正常进行。</w:t>
      </w:r>
    </w:p>
    <w:p w14:paraId="5D00C725">
      <w:pPr>
        <w:pStyle w:val="3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c.</w:t>
      </w:r>
      <w:r>
        <w:rPr>
          <w:rFonts w:hint="eastAsia" w:ascii="仿宋_GB2312" w:hAnsi="仿宋_GB2312" w:eastAsia="仿宋_GB2312" w:cs="仿宋_GB2312"/>
          <w:sz w:val="32"/>
          <w:szCs w:val="32"/>
        </w:rPr>
        <w:t>严重违反竞赛精神（作弊）。</w:t>
      </w:r>
    </w:p>
    <w:p w14:paraId="01E4AC17">
      <w:pPr>
        <w:pStyle w:val="3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d.</w:t>
      </w:r>
      <w:r>
        <w:rPr>
          <w:rFonts w:hint="eastAsia" w:ascii="仿宋_GB2312" w:hAnsi="仿宋_GB2312" w:eastAsia="仿宋_GB2312" w:cs="仿宋_GB2312"/>
          <w:sz w:val="32"/>
          <w:szCs w:val="32"/>
        </w:rPr>
        <w:t>重复或无视裁判警告，公然违例。</w:t>
      </w:r>
    </w:p>
    <w:p w14:paraId="29A58BA0">
      <w:pPr>
        <w:pStyle w:val="3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e.</w:t>
      </w:r>
      <w:r>
        <w:rPr>
          <w:rFonts w:hint="eastAsia" w:ascii="仿宋_GB2312" w:hAnsi="仿宋_GB2312" w:eastAsia="仿宋_GB2312" w:cs="仿宋_GB2312"/>
          <w:sz w:val="32"/>
          <w:szCs w:val="32"/>
        </w:rPr>
        <w:t>恶意投诉</w:t>
      </w:r>
    </w:p>
    <w:p w14:paraId="3354B558">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异常状态</w:t>
      </w:r>
    </w:p>
    <w:p w14:paraId="34EB9820">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当出现包括但不限于如下状态时：</w:t>
      </w:r>
    </w:p>
    <w:p w14:paraId="6695B7F1">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a.</w:t>
      </w:r>
      <w:r>
        <w:rPr>
          <w:rFonts w:hint="eastAsia" w:ascii="仿宋_GB2312" w:hAnsi="仿宋_GB2312" w:eastAsia="仿宋_GB2312" w:cs="仿宋_GB2312"/>
          <w:sz w:val="32"/>
          <w:szCs w:val="32"/>
        </w:rPr>
        <w:t>安全隐患：赛场内出现关于场地、参赛队员和机器人的安全隐患。</w:t>
      </w:r>
    </w:p>
    <w:p w14:paraId="18BE8760">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b.</w:t>
      </w:r>
      <w:r>
        <w:rPr>
          <w:rFonts w:hint="eastAsia" w:ascii="仿宋_GB2312" w:hAnsi="仿宋_GB2312" w:eastAsia="仿宋_GB2312" w:cs="仿宋_GB2312"/>
          <w:sz w:val="32"/>
          <w:szCs w:val="32"/>
        </w:rPr>
        <w:t>场地道具缺失或损坏：比赛场地和场地道具的缺失或损坏导致无法正常进行比赛。</w:t>
      </w:r>
    </w:p>
    <w:p w14:paraId="2BA9F054">
      <w:pPr>
        <w:pStyle w:val="94"/>
        <w:pageBreakBefore w:val="0"/>
        <w:numPr>
          <w:ilvl w:val="0"/>
          <w:numId w:val="0"/>
        </w:numPr>
        <w:kinsoku/>
        <w:overflowPunct/>
        <w:topLinePunct w:val="0"/>
        <w:autoSpaceDE/>
        <w:autoSpaceDN/>
        <w:bidi w:val="0"/>
        <w:adjustRightInd w:val="0"/>
        <w:snapToGrid w:val="0"/>
        <w:spacing w:line="360" w:lineRule="auto"/>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d.</w:t>
      </w:r>
      <w:r>
        <w:rPr>
          <w:rFonts w:hint="eastAsia" w:ascii="仿宋_GB2312" w:hAnsi="仿宋_GB2312" w:eastAsia="仿宋_GB2312" w:cs="仿宋_GB2312"/>
          <w:sz w:val="32"/>
          <w:szCs w:val="32"/>
        </w:rPr>
        <w:t>重赛：重赛将由裁判根据实际情况慎重讨论决定。</w:t>
      </w:r>
    </w:p>
    <w:p w14:paraId="42AE8984">
      <w:pPr>
        <w:pStyle w:val="67"/>
        <w:pageBreakBefore w:val="0"/>
        <w:kinsoku/>
        <w:overflowPunct/>
        <w:topLinePunct w:val="0"/>
        <w:autoSpaceDE/>
        <w:autoSpaceDN/>
        <w:bidi w:val="0"/>
        <w:adjustRightInd w:val="0"/>
        <w:snapToGrid w:val="0"/>
        <w:spacing w:line="360" w:lineRule="auto"/>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场地、道具不确定性</w:t>
      </w:r>
    </w:p>
    <w:p w14:paraId="324B5D1F">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在由于生产和加工的不确定性，所有道具及场地将存在不可避免的细微误差（尺寸、重量、颜色、平整度等）。战队在设计搭建机器人时，须考虑此误差因素，适应不同道具及场地。如现场有其他适配道具，选手可在赛前申请替换。机器人应该能够适应如场地褶皱、灯光变化等不可改变的因素，凡因这些不可改变因素产生的机器人表现差异，战队应自行完成针对性调试。</w:t>
      </w:r>
    </w:p>
    <w:p w14:paraId="05796E97">
      <w:pPr>
        <w:pStyle w:val="40"/>
        <w:pageBreakBefore w:val="0"/>
        <w:numPr>
          <w:ilvl w:val="0"/>
          <w:numId w:val="16"/>
        </w:numPr>
        <w:kinsoku/>
        <w:overflowPunct/>
        <w:topLinePunct w:val="0"/>
        <w:autoSpaceDE/>
        <w:autoSpaceDN/>
        <w:bidi w:val="0"/>
        <w:adjustRightInd w:val="0"/>
        <w:snapToGrid w:val="0"/>
        <w:spacing w:line="360" w:lineRule="auto"/>
        <w:ind w:left="425" w:leftChars="0" w:hanging="425" w:firstLineChars="0"/>
        <w:textAlignment w:val="auto"/>
        <w:rPr>
          <w:rFonts w:hint="eastAsia" w:ascii="仿宋_GB2312" w:hAnsi="仿宋_GB2312" w:eastAsia="仿宋_GB2312" w:cs="仿宋_GB2312"/>
          <w:sz w:val="40"/>
          <w:szCs w:val="40"/>
        </w:rPr>
      </w:pPr>
      <w:bookmarkStart w:id="34" w:name="_Toc15390"/>
      <w:r>
        <w:rPr>
          <w:rFonts w:hint="eastAsia" w:ascii="仿宋_GB2312" w:hAnsi="仿宋_GB2312" w:eastAsia="仿宋_GB2312" w:cs="仿宋_GB2312"/>
          <w:sz w:val="40"/>
          <w:szCs w:val="40"/>
          <w:lang w:eastAsia="zh-CN"/>
        </w:rPr>
        <w:t>省赛特别说明</w:t>
      </w:r>
      <w:bookmarkEnd w:id="34"/>
    </w:p>
    <w:p w14:paraId="3904C36A">
      <w:pPr>
        <w:pStyle w:val="94"/>
        <w:pageBreakBefore w:val="0"/>
        <w:numPr>
          <w:ilvl w:val="0"/>
          <w:numId w:val="0"/>
        </w:numPr>
        <w:kinsoku/>
        <w:overflowPunct/>
        <w:topLinePunct w:val="0"/>
        <w:autoSpaceDE/>
        <w:autoSpaceDN/>
        <w:bidi w:val="0"/>
        <w:adjustRightInd w:val="0"/>
        <w:snapToGrid w:val="0"/>
        <w:spacing w:line="360" w:lineRule="auto"/>
        <w:ind w:left="0" w:leftChars="0"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14:scene3d>
            <w14:lightRig w14:rig="threePt" w14:dir="t">
              <w14:rot w14:lat="0" w14:lon="0" w14:rev="0"/>
            </w14:lightRig>
          </w14:scene3d>
        </w:rPr>
        <w:t>为搭建一个学习、创造与交流的综合性舞台，让参与的学生学有所获。</w:t>
      </w:r>
      <w:r>
        <w:rPr>
          <w:rFonts w:hint="eastAsia" w:ascii="仿宋_GB2312" w:hAnsi="仿宋_GB2312" w:eastAsia="仿宋_GB2312" w:cs="仿宋_GB2312"/>
          <w:sz w:val="32"/>
          <w:szCs w:val="32"/>
          <w:lang w:val="en-US" w:eastAsia="zh-CN"/>
        </w:rPr>
        <w:t>本项目省赛将增加交流环节，竞赛完成后排名前30%的队伍将进行5分钟左右的交流表达，学生可提前准备PPT等资料进行交流展示，也可直接口述。交流表达要点可参考下表（选取其中某些点进行交流即可）：</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527"/>
        <w:gridCol w:w="3292"/>
        <w:gridCol w:w="3090"/>
      </w:tblGrid>
      <w:tr w14:paraId="37727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7" w:type="dxa"/>
            <w:vAlign w:val="center"/>
          </w:tcPr>
          <w:p w14:paraId="091F081A">
            <w:pPr>
              <w:keepNext w:val="0"/>
              <w:keepLines w:val="0"/>
              <w:widowControl/>
              <w:suppressLineNumbers w:val="0"/>
              <w:jc w:val="center"/>
            </w:pPr>
            <w:r>
              <w:rPr>
                <w:rFonts w:hint="eastAsia"/>
              </w:rPr>
              <w:t>序号</w:t>
            </w:r>
          </w:p>
        </w:tc>
        <w:tc>
          <w:tcPr>
            <w:tcW w:w="1527" w:type="dxa"/>
            <w:vAlign w:val="center"/>
          </w:tcPr>
          <w:p w14:paraId="33403607">
            <w:pPr>
              <w:keepNext w:val="0"/>
              <w:keepLines w:val="0"/>
              <w:widowControl/>
              <w:suppressLineNumbers w:val="0"/>
              <w:jc w:val="center"/>
            </w:pPr>
            <w:r>
              <w:rPr>
                <w:rFonts w:hint="eastAsia"/>
              </w:rPr>
              <w:t>模块</w:t>
            </w:r>
          </w:p>
        </w:tc>
        <w:tc>
          <w:tcPr>
            <w:tcW w:w="3292" w:type="dxa"/>
            <w:vAlign w:val="center"/>
          </w:tcPr>
          <w:p w14:paraId="225CC5A3">
            <w:pPr>
              <w:keepNext w:val="0"/>
              <w:keepLines w:val="0"/>
              <w:widowControl/>
              <w:suppressLineNumbers w:val="0"/>
              <w:jc w:val="center"/>
            </w:pPr>
            <w:r>
              <w:rPr>
                <w:rFonts w:hint="eastAsia"/>
              </w:rPr>
              <w:t>主要内容/问题要点</w:t>
            </w:r>
          </w:p>
        </w:tc>
        <w:tc>
          <w:tcPr>
            <w:tcW w:w="3090" w:type="dxa"/>
            <w:vAlign w:val="center"/>
          </w:tcPr>
          <w:p w14:paraId="3756C780">
            <w:pPr>
              <w:keepNext w:val="0"/>
              <w:keepLines w:val="0"/>
              <w:widowControl/>
              <w:suppressLineNumbers w:val="0"/>
              <w:jc w:val="center"/>
            </w:pPr>
            <w:r>
              <w:rPr>
                <w:rFonts w:hint="eastAsia"/>
              </w:rPr>
              <w:t>说明与要求</w:t>
            </w:r>
          </w:p>
        </w:tc>
      </w:tr>
      <w:tr w14:paraId="1A7E4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7" w:type="dxa"/>
            <w:vAlign w:val="center"/>
          </w:tcPr>
          <w:p w14:paraId="627407BA">
            <w:pPr>
              <w:keepNext w:val="0"/>
              <w:keepLines w:val="0"/>
              <w:widowControl/>
              <w:suppressLineNumbers w:val="0"/>
              <w:jc w:val="center"/>
              <w:rPr>
                <w:rFonts w:hint="eastAsia" w:eastAsia="宋体"/>
                <w:lang w:eastAsia="zh-CN"/>
              </w:rPr>
            </w:pPr>
            <w:r>
              <w:rPr>
                <w:rFonts w:hint="eastAsia"/>
                <w:lang w:val="en-US" w:eastAsia="zh-CN"/>
              </w:rPr>
              <w:t>一</w:t>
            </w:r>
          </w:p>
        </w:tc>
        <w:tc>
          <w:tcPr>
            <w:tcW w:w="1527" w:type="dxa"/>
            <w:vAlign w:val="center"/>
          </w:tcPr>
          <w:p w14:paraId="2D01D0D3">
            <w:pPr>
              <w:keepNext w:val="0"/>
              <w:keepLines w:val="0"/>
              <w:widowControl/>
              <w:suppressLineNumbers w:val="0"/>
              <w:jc w:val="center"/>
            </w:pPr>
            <w:r>
              <w:rPr>
                <w:rFonts w:hint="eastAsia"/>
              </w:rPr>
              <w:t>项目规划进度</w:t>
            </w:r>
          </w:p>
        </w:tc>
        <w:tc>
          <w:tcPr>
            <w:tcW w:w="3292" w:type="dxa"/>
            <w:vAlign w:val="center"/>
          </w:tcPr>
          <w:p w14:paraId="771A2938">
            <w:pPr>
              <w:keepNext w:val="0"/>
              <w:keepLines w:val="0"/>
              <w:widowControl/>
              <w:numPr>
                <w:ilvl w:val="0"/>
                <w:numId w:val="18"/>
              </w:numPr>
              <w:suppressLineNumbers w:val="0"/>
              <w:jc w:val="both"/>
              <w:rPr>
                <w:rFonts w:hint="eastAsia"/>
              </w:rPr>
            </w:pPr>
            <w:r>
              <w:rPr>
                <w:rFonts w:hint="eastAsia"/>
              </w:rPr>
              <w:t>是否按计划进行？</w:t>
            </w:r>
          </w:p>
          <w:p w14:paraId="4263334C">
            <w:pPr>
              <w:keepNext w:val="0"/>
              <w:keepLines w:val="0"/>
              <w:widowControl/>
              <w:numPr>
                <w:ilvl w:val="0"/>
                <w:numId w:val="18"/>
              </w:numPr>
              <w:suppressLineNumbers w:val="0"/>
              <w:jc w:val="both"/>
              <w:rPr>
                <w:rFonts w:hint="eastAsia"/>
              </w:rPr>
            </w:pPr>
            <w:r>
              <w:rPr>
                <w:rFonts w:hint="eastAsia"/>
              </w:rPr>
              <w:t>是否有延期？</w:t>
            </w:r>
          </w:p>
          <w:p w14:paraId="76D2EF97">
            <w:pPr>
              <w:keepNext w:val="0"/>
              <w:keepLines w:val="0"/>
              <w:widowControl/>
              <w:numPr>
                <w:ilvl w:val="0"/>
                <w:numId w:val="18"/>
              </w:numPr>
              <w:suppressLineNumbers w:val="0"/>
              <w:jc w:val="both"/>
            </w:pPr>
            <w:r>
              <w:rPr>
                <w:rFonts w:hint="eastAsia"/>
              </w:rPr>
              <w:t>怎么补救</w:t>
            </w:r>
          </w:p>
          <w:p w14:paraId="12772028">
            <w:pPr>
              <w:keepNext w:val="0"/>
              <w:keepLines w:val="0"/>
              <w:widowControl/>
              <w:numPr>
                <w:ilvl w:val="0"/>
                <w:numId w:val="18"/>
              </w:numPr>
              <w:suppressLineNumbers w:val="0"/>
              <w:jc w:val="both"/>
            </w:pPr>
            <w:r>
              <w:rPr>
                <w:rFonts w:hint="eastAsia"/>
              </w:rPr>
              <w:t>队员有无争执如何解决</w:t>
            </w:r>
          </w:p>
        </w:tc>
        <w:tc>
          <w:tcPr>
            <w:tcW w:w="3090" w:type="dxa"/>
            <w:vAlign w:val="center"/>
          </w:tcPr>
          <w:p w14:paraId="04203D70">
            <w:pPr>
              <w:keepNext w:val="0"/>
              <w:keepLines w:val="0"/>
              <w:widowControl/>
              <w:numPr>
                <w:ilvl w:val="0"/>
                <w:numId w:val="19"/>
              </w:numPr>
              <w:suppressLineNumbers w:val="0"/>
              <w:jc w:val="both"/>
              <w:rPr>
                <w:rFonts w:hint="eastAsia"/>
              </w:rPr>
            </w:pPr>
            <w:r>
              <w:rPr>
                <w:rFonts w:hint="eastAsia"/>
              </w:rPr>
              <w:t>项目时间管理</w:t>
            </w:r>
          </w:p>
          <w:p w14:paraId="14395B91">
            <w:pPr>
              <w:keepNext w:val="0"/>
              <w:keepLines w:val="0"/>
              <w:widowControl/>
              <w:numPr>
                <w:ilvl w:val="0"/>
                <w:numId w:val="19"/>
              </w:numPr>
              <w:suppressLineNumbers w:val="0"/>
              <w:jc w:val="both"/>
            </w:pPr>
            <w:r>
              <w:rPr>
                <w:rFonts w:hint="eastAsia"/>
              </w:rPr>
              <w:t>进度延误与应对</w:t>
            </w:r>
          </w:p>
          <w:p w14:paraId="3D5EE554">
            <w:pPr>
              <w:keepNext w:val="0"/>
              <w:keepLines w:val="0"/>
              <w:widowControl/>
              <w:numPr>
                <w:ilvl w:val="0"/>
                <w:numId w:val="19"/>
              </w:numPr>
              <w:suppressLineNumbers w:val="0"/>
              <w:jc w:val="both"/>
            </w:pPr>
            <w:r>
              <w:rPr>
                <w:rFonts w:hint="eastAsia"/>
              </w:rPr>
              <w:t>团队协作与冲突解决</w:t>
            </w:r>
          </w:p>
        </w:tc>
      </w:tr>
      <w:tr w14:paraId="573D6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7" w:type="dxa"/>
            <w:vAlign w:val="center"/>
          </w:tcPr>
          <w:p w14:paraId="7A2B652B">
            <w:pPr>
              <w:keepNext w:val="0"/>
              <w:keepLines w:val="0"/>
              <w:widowControl/>
              <w:suppressLineNumbers w:val="0"/>
              <w:jc w:val="center"/>
              <w:rPr>
                <w:rFonts w:hint="eastAsia" w:eastAsia="宋体"/>
                <w:lang w:eastAsia="zh-CN"/>
              </w:rPr>
            </w:pPr>
            <w:r>
              <w:rPr>
                <w:rFonts w:hint="eastAsia"/>
                <w:lang w:val="en-US" w:eastAsia="zh-CN"/>
              </w:rPr>
              <w:t>二</w:t>
            </w:r>
          </w:p>
        </w:tc>
        <w:tc>
          <w:tcPr>
            <w:tcW w:w="1527" w:type="dxa"/>
            <w:vAlign w:val="center"/>
          </w:tcPr>
          <w:p w14:paraId="22906267">
            <w:pPr>
              <w:keepNext w:val="0"/>
              <w:keepLines w:val="0"/>
              <w:widowControl/>
              <w:suppressLineNumbers w:val="0"/>
              <w:jc w:val="center"/>
            </w:pPr>
            <w:r>
              <w:rPr>
                <w:rFonts w:hint="eastAsia"/>
              </w:rPr>
              <w:t>作品总结</w:t>
            </w:r>
          </w:p>
        </w:tc>
        <w:tc>
          <w:tcPr>
            <w:tcW w:w="3292" w:type="dxa"/>
            <w:vAlign w:val="center"/>
          </w:tcPr>
          <w:p w14:paraId="4F3E9A0D">
            <w:pPr>
              <w:keepNext w:val="0"/>
              <w:keepLines w:val="0"/>
              <w:widowControl/>
              <w:numPr>
                <w:ilvl w:val="0"/>
                <w:numId w:val="20"/>
              </w:numPr>
              <w:suppressLineNumbers w:val="0"/>
              <w:jc w:val="both"/>
            </w:pPr>
            <w:r>
              <w:rPr>
                <w:rFonts w:hint="eastAsia"/>
              </w:rPr>
              <w:t>作品结构与功能（图文）</w:t>
            </w:r>
          </w:p>
          <w:p w14:paraId="137E0331">
            <w:pPr>
              <w:keepNext w:val="0"/>
              <w:keepLines w:val="0"/>
              <w:widowControl/>
              <w:numPr>
                <w:ilvl w:val="0"/>
                <w:numId w:val="20"/>
              </w:numPr>
              <w:suppressLineNumbers w:val="0"/>
              <w:jc w:val="both"/>
            </w:pPr>
            <w:r>
              <w:rPr>
                <w:rFonts w:hint="eastAsia"/>
                <w:lang w:val="en-US" w:eastAsia="zh-CN"/>
              </w:rPr>
              <w:t>作品编程程序交流</w:t>
            </w:r>
          </w:p>
          <w:p w14:paraId="5B0EB7C1">
            <w:pPr>
              <w:keepNext w:val="0"/>
              <w:keepLines w:val="0"/>
              <w:widowControl/>
              <w:numPr>
                <w:ilvl w:val="0"/>
                <w:numId w:val="20"/>
              </w:numPr>
              <w:suppressLineNumbers w:val="0"/>
              <w:jc w:val="both"/>
            </w:pPr>
            <w:r>
              <w:rPr>
                <w:rFonts w:hint="eastAsia"/>
              </w:rPr>
              <w:t>技术创新</w:t>
            </w:r>
            <w:r>
              <w:rPr>
                <w:rFonts w:hint="eastAsia"/>
                <w:lang w:val="en-US" w:eastAsia="zh-CN"/>
              </w:rPr>
              <w:t>点</w:t>
            </w:r>
          </w:p>
          <w:p w14:paraId="35C0C216">
            <w:pPr>
              <w:keepNext w:val="0"/>
              <w:keepLines w:val="0"/>
              <w:widowControl/>
              <w:numPr>
                <w:ilvl w:val="0"/>
                <w:numId w:val="20"/>
              </w:numPr>
              <w:suppressLineNumbers w:val="0"/>
              <w:jc w:val="both"/>
            </w:pPr>
            <w:r>
              <w:rPr>
                <w:rFonts w:hint="eastAsia"/>
              </w:rPr>
              <w:t>竞赛策略（得分/防守）</w:t>
            </w:r>
          </w:p>
        </w:tc>
        <w:tc>
          <w:tcPr>
            <w:tcW w:w="3090" w:type="dxa"/>
            <w:vAlign w:val="center"/>
          </w:tcPr>
          <w:p w14:paraId="4914A885">
            <w:pPr>
              <w:keepNext w:val="0"/>
              <w:keepLines w:val="0"/>
              <w:widowControl/>
              <w:numPr>
                <w:ilvl w:val="0"/>
                <w:numId w:val="21"/>
              </w:numPr>
              <w:suppressLineNumbers w:val="0"/>
              <w:jc w:val="both"/>
              <w:rPr>
                <w:rFonts w:hint="eastAsia"/>
              </w:rPr>
            </w:pPr>
            <w:r>
              <w:rPr>
                <w:rFonts w:hint="eastAsia"/>
              </w:rPr>
              <w:t>机器人构造与功能说明</w:t>
            </w:r>
          </w:p>
          <w:p w14:paraId="077B45F2">
            <w:pPr>
              <w:keepNext w:val="0"/>
              <w:keepLines w:val="0"/>
              <w:widowControl/>
              <w:numPr>
                <w:ilvl w:val="0"/>
                <w:numId w:val="21"/>
              </w:numPr>
              <w:suppressLineNumbers w:val="0"/>
              <w:jc w:val="both"/>
              <w:rPr>
                <w:rFonts w:hint="eastAsia"/>
              </w:rPr>
            </w:pPr>
            <w:r>
              <w:rPr>
                <w:rFonts w:hint="eastAsia"/>
                <w:lang w:val="en-US" w:eastAsia="zh-CN"/>
              </w:rPr>
              <w:t>编程中程序难点交流</w:t>
            </w:r>
          </w:p>
          <w:p w14:paraId="3F1E158D">
            <w:pPr>
              <w:keepNext w:val="0"/>
              <w:keepLines w:val="0"/>
              <w:widowControl/>
              <w:numPr>
                <w:ilvl w:val="0"/>
                <w:numId w:val="21"/>
              </w:numPr>
              <w:suppressLineNumbers w:val="0"/>
              <w:jc w:val="both"/>
            </w:pPr>
            <w:r>
              <w:rPr>
                <w:rFonts w:hint="eastAsia"/>
              </w:rPr>
              <w:t>创新技术介绍</w:t>
            </w:r>
          </w:p>
          <w:p w14:paraId="464A6512">
            <w:pPr>
              <w:keepNext w:val="0"/>
              <w:keepLines w:val="0"/>
              <w:widowControl/>
              <w:numPr>
                <w:ilvl w:val="0"/>
                <w:numId w:val="21"/>
              </w:numPr>
              <w:suppressLineNumbers w:val="0"/>
              <w:jc w:val="both"/>
            </w:pPr>
            <w:r>
              <w:rPr>
                <w:rFonts w:hint="eastAsia"/>
              </w:rPr>
              <w:t>比赛策略思路（得分/防守）</w:t>
            </w:r>
          </w:p>
        </w:tc>
      </w:tr>
      <w:tr w14:paraId="14201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7" w:type="dxa"/>
            <w:vAlign w:val="center"/>
          </w:tcPr>
          <w:p w14:paraId="4797D052">
            <w:pPr>
              <w:keepNext w:val="0"/>
              <w:keepLines w:val="0"/>
              <w:widowControl/>
              <w:suppressLineNumbers w:val="0"/>
              <w:jc w:val="center"/>
              <w:rPr>
                <w:rFonts w:hint="eastAsia" w:eastAsia="宋体"/>
                <w:lang w:eastAsia="zh-CN"/>
              </w:rPr>
            </w:pPr>
            <w:r>
              <w:rPr>
                <w:rFonts w:hint="eastAsia"/>
                <w:lang w:val="en-US" w:eastAsia="zh-CN"/>
              </w:rPr>
              <w:t>三</w:t>
            </w:r>
          </w:p>
        </w:tc>
        <w:tc>
          <w:tcPr>
            <w:tcW w:w="1527" w:type="dxa"/>
            <w:vAlign w:val="center"/>
          </w:tcPr>
          <w:p w14:paraId="51FD8C9D">
            <w:pPr>
              <w:keepNext w:val="0"/>
              <w:keepLines w:val="0"/>
              <w:widowControl/>
              <w:suppressLineNumbers w:val="0"/>
              <w:jc w:val="center"/>
            </w:pPr>
            <w:r>
              <w:rPr>
                <w:rFonts w:hint="eastAsia"/>
              </w:rPr>
              <w:t>团队介绍</w:t>
            </w:r>
          </w:p>
        </w:tc>
        <w:tc>
          <w:tcPr>
            <w:tcW w:w="3292" w:type="dxa"/>
            <w:vAlign w:val="center"/>
          </w:tcPr>
          <w:p w14:paraId="7F59757A">
            <w:pPr>
              <w:keepNext w:val="0"/>
              <w:keepLines w:val="0"/>
              <w:widowControl/>
              <w:numPr>
                <w:ilvl w:val="0"/>
                <w:numId w:val="22"/>
              </w:numPr>
              <w:suppressLineNumbers w:val="0"/>
              <w:jc w:val="both"/>
              <w:rPr>
                <w:rFonts w:hint="eastAsia"/>
              </w:rPr>
            </w:pPr>
            <w:r>
              <w:rPr>
                <w:rFonts w:hint="eastAsia"/>
              </w:rPr>
              <w:t>成员与分工</w:t>
            </w:r>
          </w:p>
          <w:p w14:paraId="46CC6903">
            <w:pPr>
              <w:keepNext w:val="0"/>
              <w:keepLines w:val="0"/>
              <w:widowControl/>
              <w:numPr>
                <w:ilvl w:val="0"/>
                <w:numId w:val="22"/>
              </w:numPr>
              <w:suppressLineNumbers w:val="0"/>
              <w:jc w:val="both"/>
            </w:pPr>
            <w:r>
              <w:rPr>
                <w:rFonts w:hint="eastAsia"/>
              </w:rPr>
              <w:t>团队文化（Logo/口号/队旗等）</w:t>
            </w:r>
          </w:p>
          <w:p w14:paraId="2F717B71">
            <w:pPr>
              <w:keepNext w:val="0"/>
              <w:keepLines w:val="0"/>
              <w:widowControl/>
              <w:numPr>
                <w:ilvl w:val="0"/>
                <w:numId w:val="22"/>
              </w:numPr>
              <w:suppressLineNumbers w:val="0"/>
              <w:jc w:val="both"/>
            </w:pPr>
            <w:r>
              <w:rPr>
                <w:rFonts w:hint="eastAsia"/>
              </w:rPr>
              <w:t>团队优秀事迹（团队故事）</w:t>
            </w:r>
          </w:p>
        </w:tc>
        <w:tc>
          <w:tcPr>
            <w:tcW w:w="3090" w:type="dxa"/>
            <w:vAlign w:val="center"/>
          </w:tcPr>
          <w:p w14:paraId="688CBF34">
            <w:pPr>
              <w:keepNext w:val="0"/>
              <w:keepLines w:val="0"/>
              <w:widowControl/>
              <w:numPr>
                <w:ilvl w:val="0"/>
                <w:numId w:val="23"/>
              </w:numPr>
              <w:suppressLineNumbers w:val="0"/>
              <w:jc w:val="both"/>
              <w:rPr>
                <w:rFonts w:hint="eastAsia"/>
              </w:rPr>
            </w:pPr>
            <w:r>
              <w:rPr>
                <w:rFonts w:hint="eastAsia"/>
              </w:rPr>
              <w:t>角色分工说明</w:t>
            </w:r>
          </w:p>
          <w:p w14:paraId="1154E88F">
            <w:pPr>
              <w:keepNext w:val="0"/>
              <w:keepLines w:val="0"/>
              <w:widowControl/>
              <w:numPr>
                <w:ilvl w:val="0"/>
                <w:numId w:val="23"/>
              </w:numPr>
              <w:suppressLineNumbers w:val="0"/>
              <w:jc w:val="both"/>
            </w:pPr>
            <w:r>
              <w:rPr>
                <w:rFonts w:hint="eastAsia"/>
              </w:rPr>
              <w:t>团队特色展示</w:t>
            </w:r>
          </w:p>
          <w:p w14:paraId="235ECC36">
            <w:pPr>
              <w:keepNext w:val="0"/>
              <w:keepLines w:val="0"/>
              <w:widowControl/>
              <w:numPr>
                <w:ilvl w:val="0"/>
                <w:numId w:val="23"/>
              </w:numPr>
              <w:suppressLineNumbers w:val="0"/>
              <w:jc w:val="both"/>
            </w:pPr>
            <w:r>
              <w:rPr>
                <w:rFonts w:hint="eastAsia"/>
              </w:rPr>
              <w:t>备赛中的感人或突破性团队经历</w:t>
            </w:r>
          </w:p>
        </w:tc>
      </w:tr>
      <w:tr w14:paraId="6D45B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7" w:type="dxa"/>
            <w:vAlign w:val="center"/>
          </w:tcPr>
          <w:p w14:paraId="400D46EB">
            <w:pPr>
              <w:keepNext w:val="0"/>
              <w:keepLines w:val="0"/>
              <w:widowControl/>
              <w:suppressLineNumbers w:val="0"/>
              <w:jc w:val="center"/>
              <w:rPr>
                <w:rFonts w:hint="eastAsia" w:eastAsia="宋体"/>
                <w:lang w:eastAsia="zh-CN"/>
              </w:rPr>
            </w:pPr>
            <w:r>
              <w:rPr>
                <w:rFonts w:hint="eastAsia"/>
                <w:lang w:val="en-US" w:eastAsia="zh-CN"/>
              </w:rPr>
              <w:t>四</w:t>
            </w:r>
          </w:p>
        </w:tc>
        <w:tc>
          <w:tcPr>
            <w:tcW w:w="1527" w:type="dxa"/>
            <w:vAlign w:val="center"/>
          </w:tcPr>
          <w:p w14:paraId="205A4080">
            <w:pPr>
              <w:keepNext w:val="0"/>
              <w:keepLines w:val="0"/>
              <w:widowControl/>
              <w:suppressLineNumbers w:val="0"/>
              <w:jc w:val="center"/>
            </w:pPr>
            <w:r>
              <w:rPr>
                <w:rFonts w:hint="eastAsia"/>
              </w:rPr>
              <w:t>感想与建议</w:t>
            </w:r>
          </w:p>
        </w:tc>
        <w:tc>
          <w:tcPr>
            <w:tcW w:w="3292" w:type="dxa"/>
            <w:vAlign w:val="center"/>
          </w:tcPr>
          <w:p w14:paraId="5329D706">
            <w:pPr>
              <w:keepNext w:val="0"/>
              <w:keepLines w:val="0"/>
              <w:widowControl/>
              <w:numPr>
                <w:ilvl w:val="0"/>
                <w:numId w:val="24"/>
              </w:numPr>
              <w:suppressLineNumbers w:val="0"/>
              <w:jc w:val="both"/>
              <w:rPr>
                <w:rFonts w:hint="eastAsia"/>
              </w:rPr>
            </w:pPr>
            <w:r>
              <w:rPr>
                <w:rFonts w:hint="eastAsia"/>
              </w:rPr>
              <w:t>比赛技术收获</w:t>
            </w:r>
          </w:p>
          <w:p w14:paraId="682FAC3C">
            <w:pPr>
              <w:keepNext w:val="0"/>
              <w:keepLines w:val="0"/>
              <w:widowControl/>
              <w:numPr>
                <w:ilvl w:val="0"/>
                <w:numId w:val="24"/>
              </w:numPr>
              <w:suppressLineNumbers w:val="0"/>
              <w:jc w:val="both"/>
            </w:pPr>
            <w:r>
              <w:rPr>
                <w:rFonts w:hint="eastAsia"/>
              </w:rPr>
              <w:t>比赛精神成长</w:t>
            </w:r>
          </w:p>
          <w:p w14:paraId="64385A3F">
            <w:pPr>
              <w:keepNext w:val="0"/>
              <w:keepLines w:val="0"/>
              <w:widowControl/>
              <w:numPr>
                <w:ilvl w:val="0"/>
                <w:numId w:val="24"/>
              </w:numPr>
              <w:suppressLineNumbers w:val="0"/>
              <w:jc w:val="both"/>
            </w:pPr>
            <w:r>
              <w:rPr>
                <w:rFonts w:hint="eastAsia"/>
              </w:rPr>
              <w:t>对比赛的建议</w:t>
            </w:r>
          </w:p>
        </w:tc>
        <w:tc>
          <w:tcPr>
            <w:tcW w:w="3090" w:type="dxa"/>
            <w:vAlign w:val="center"/>
          </w:tcPr>
          <w:p w14:paraId="08B5285B">
            <w:pPr>
              <w:keepNext w:val="0"/>
              <w:keepLines w:val="0"/>
              <w:widowControl/>
              <w:numPr>
                <w:ilvl w:val="0"/>
                <w:numId w:val="25"/>
              </w:numPr>
              <w:suppressLineNumbers w:val="0"/>
              <w:jc w:val="both"/>
              <w:rPr>
                <w:rFonts w:hint="eastAsia"/>
              </w:rPr>
            </w:pPr>
            <w:r>
              <w:rPr>
                <w:rFonts w:hint="eastAsia"/>
              </w:rPr>
              <w:t>技术能力提升总结</w:t>
            </w:r>
          </w:p>
          <w:p w14:paraId="63F290D7">
            <w:pPr>
              <w:keepNext w:val="0"/>
              <w:keepLines w:val="0"/>
              <w:widowControl/>
              <w:numPr>
                <w:ilvl w:val="0"/>
                <w:numId w:val="25"/>
              </w:numPr>
              <w:suppressLineNumbers w:val="0"/>
              <w:jc w:val="both"/>
            </w:pPr>
            <w:r>
              <w:rPr>
                <w:rFonts w:hint="eastAsia"/>
              </w:rPr>
              <w:t>心路与成长反思</w:t>
            </w:r>
          </w:p>
          <w:p w14:paraId="5AE1AD2F">
            <w:pPr>
              <w:keepNext w:val="0"/>
              <w:keepLines w:val="0"/>
              <w:widowControl/>
              <w:numPr>
                <w:ilvl w:val="0"/>
                <w:numId w:val="25"/>
              </w:numPr>
              <w:suppressLineNumbers w:val="0"/>
              <w:jc w:val="both"/>
            </w:pPr>
            <w:r>
              <w:rPr>
                <w:rFonts w:hint="eastAsia"/>
              </w:rPr>
              <w:t>可提出改进建议</w:t>
            </w:r>
          </w:p>
        </w:tc>
      </w:tr>
    </w:tbl>
    <w:p w14:paraId="1DFAAF0F">
      <w:pPr>
        <w:pStyle w:val="94"/>
        <w:pageBreakBefore w:val="0"/>
        <w:numPr>
          <w:ilvl w:val="0"/>
          <w:numId w:val="0"/>
        </w:numPr>
        <w:kinsoku/>
        <w:overflowPunct/>
        <w:topLinePunct w:val="0"/>
        <w:autoSpaceDE/>
        <w:autoSpaceDN/>
        <w:bidi w:val="0"/>
        <w:adjustRightInd w:val="0"/>
        <w:snapToGrid w:val="0"/>
        <w:spacing w:line="360" w:lineRule="auto"/>
        <w:textAlignment w:val="auto"/>
        <w:rPr>
          <w:rFonts w:hint="default" w:ascii="仿宋_GB2312" w:hAnsi="仿宋_GB2312" w:eastAsia="仿宋_GB2312" w:cs="仿宋_GB2312"/>
          <w:sz w:val="32"/>
          <w:szCs w:val="32"/>
          <w:lang w:val="en-US" w:eastAsia="zh-CN"/>
        </w:rPr>
      </w:pPr>
    </w:p>
    <w:sectPr>
      <w:headerReference r:id="rId13" w:type="first"/>
      <w:footerReference r:id="rId16" w:type="first"/>
      <w:headerReference r:id="rId11" w:type="default"/>
      <w:footerReference r:id="rId14" w:type="default"/>
      <w:headerReference r:id="rId12" w:type="even"/>
      <w:footerReference r:id="rId15" w:type="even"/>
      <w:pgSz w:w="11906" w:h="16838"/>
      <w:pgMar w:top="1440" w:right="1417" w:bottom="1440" w:left="1417" w:header="851" w:footer="992" w:gutter="0"/>
      <w:pgNumType w:fmt="decimal"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思源黑体 CN Regular">
    <w:altName w:val="微软雅黑"/>
    <w:panose1 w:val="020B0500000000000000"/>
    <w:charset w:val="86"/>
    <w:family w:val="swiss"/>
    <w:pitch w:val="default"/>
    <w:sig w:usb0="00000000" w:usb1="00000000" w:usb2="00000016" w:usb3="00000000" w:csb0="00060107"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思源黑体 CN Heavy">
    <w:altName w:val="黑体"/>
    <w:panose1 w:val="020B0A00000000000000"/>
    <w:charset w:val="86"/>
    <w:family w:val="swiss"/>
    <w:pitch w:val="default"/>
    <w:sig w:usb0="00000000" w:usb1="00000000" w:usb2="00000016" w:usb3="00000000" w:csb0="00060107" w:csb1="00000000"/>
  </w:font>
  <w:font w:name="等线">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KSOFBD29610E">
    <w:panose1 w:val="020B0A00000000000000"/>
    <w:charset w:val="86"/>
    <w:family w:val="auto"/>
    <w:pitch w:val="default"/>
    <w:sig w:usb0="00000001" w:usb1="00000000" w:usb2="00000000" w:usb3="00000000" w:csb0="00060001" w:csb1="00000000"/>
  </w:font>
  <w:font w:name="Arial">
    <w:panose1 w:val="020B0604020202020204"/>
    <w:charset w:val="00"/>
    <w:family w:val="auto"/>
    <w:pitch w:val="default"/>
    <w:sig w:usb0="E0002EFF" w:usb1="C000785B" w:usb2="00000009" w:usb3="00000000" w:csb0="400001FF" w:csb1="FFFF0000"/>
  </w:font>
  <w:font w:name="方正仿宋_GB2312">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6DF99">
    <w:pPr>
      <w:pStyle w:val="14"/>
      <w:jc w:val="center"/>
      <w:rPr>
        <w:rFonts w:hint="eastAsia"/>
        <w:color w:val="50B0CA"/>
      </w:rPr>
    </w:pPr>
    <w:r>
      <w:rPr>
        <w:color w:val="D64B40"/>
      </w:rPr>
      <w:drawing>
        <wp:anchor distT="0" distB="0" distL="114300" distR="114300" simplePos="0" relativeHeight="251666432" behindDoc="1" locked="0" layoutInCell="1" allowOverlap="1">
          <wp:simplePos x="0" y="0"/>
          <wp:positionH relativeFrom="margin">
            <wp:align>left</wp:align>
          </wp:positionH>
          <wp:positionV relativeFrom="paragraph">
            <wp:posOffset>-47625</wp:posOffset>
          </wp:positionV>
          <wp:extent cx="5266690" cy="377190"/>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690" cy="377190"/>
                  </a:xfrm>
                  <a:prstGeom prst="rect">
                    <a:avLst/>
                  </a:prstGeom>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84305774"/>
      <w:docPartObj>
        <w:docPartGallery w:val="autotext"/>
      </w:docPartObj>
    </w:sdtPr>
    <w:sdtContent>
      <w:p w14:paraId="083604E8">
        <w:pPr>
          <w:pStyle w:val="14"/>
          <w:jc w:val="center"/>
          <w:rPr>
            <w:rFonts w:hint="eastAsia"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13031">
    <w:pPr>
      <w:pStyle w:val="14"/>
      <w:jc w:val="both"/>
      <w:rPr>
        <w:rFonts w:hint="eastAsia" w:eastAsia="思源黑体 CN Regular"/>
        <w:color w:val="auto"/>
        <w:highlight w:val="none"/>
        <w:lang w:val="en-US" w:eastAsia="zh-CN"/>
      </w:rPr>
    </w:pPr>
    <w:r>
      <w:rPr>
        <w:rFonts w:hint="eastAsia"/>
        <w:color w:val="auto"/>
        <w:highlight w:val="none"/>
        <w:lang w:val="en-US"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C45BE">
    <w:pPr>
      <w:pStyle w:val="14"/>
      <w:tabs>
        <w:tab w:val="center" w:pos="4156"/>
        <w:tab w:val="left" w:pos="5640"/>
        <w:tab w:val="clear" w:pos="4153"/>
        <w:tab w:val="clear" w:pos="8306"/>
      </w:tabs>
      <w:rPr>
        <w:rFonts w:hint="eastAsia"/>
        <w:b/>
        <w:color w:val="50B0CA"/>
        <w:sz w:val="21"/>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5D76D8">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295D76D8">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26247665"/>
      <w:docPartObj>
        <w:docPartGallery w:val="autotext"/>
      </w:docPartObj>
    </w:sdtPr>
    <w:sdtContent>
      <w:p w14:paraId="14994AAB">
        <w:pPr>
          <w:pStyle w:val="14"/>
          <w:jc w:val="center"/>
          <w:rPr>
            <w:rFonts w:hint="eastAsia"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2739916"/>
      <w:docPartObj>
        <w:docPartGallery w:val="autotext"/>
      </w:docPartObj>
    </w:sdtPr>
    <w:sdtContent>
      <w:p w14:paraId="4B358378">
        <w:pPr>
          <w:pStyle w:val="14"/>
          <w:jc w:val="center"/>
          <w:rPr>
            <w:rFonts w:hint="eastAsia"/>
          </w:rPr>
        </w:pPr>
        <w:r>
          <w:fldChar w:fldCharType="begin"/>
        </w:r>
        <w:r>
          <w:instrText xml:space="preserve"> PAGE   \* MERGEFORMAT </w:instrText>
        </w:r>
        <w:r>
          <w:fldChar w:fldCharType="separate"/>
        </w:r>
        <w:r>
          <w:t>1</w:t>
        </w:r>
        <w:r>
          <w:fldChar w:fldCharType="end"/>
        </w:r>
      </w:p>
    </w:sdtContent>
  </w:sdt>
  <w:p w14:paraId="5F0173D9">
    <w:pPr>
      <w:pStyle w:val="14"/>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6F212">
    <w:pPr>
      <w:widowControl/>
      <w:jc w:val="left"/>
      <w:rPr>
        <w:rFonts w:ascii="Times New Roman" w:hAnsi="Times New Roman" w:cs="Times New Roman" w:eastAsiaTheme="minorEastAsia"/>
        <w:color w:val="D64B40"/>
        <w:kern w:val="0"/>
      </w:rPr>
    </w:pPr>
  </w:p>
  <w:p w14:paraId="1B27444A">
    <w:pPr>
      <w:widowControl/>
      <w:jc w:val="left"/>
      <w:rPr>
        <w:rFonts w:ascii="Times New Roman" w:hAnsi="Times New Roman" w:cs="Times New Roman" w:eastAsiaTheme="minorEastAsia"/>
        <w:color w:val="D64B40"/>
        <w:kern w:val="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499E7">
    <w:pPr>
      <w:pStyle w:val="15"/>
      <w:rPr>
        <w:rFonts w:hint="eastAsia"/>
      </w:rPr>
    </w:pPr>
    <w:r>
      <w:rPr>
        <w:rFonts w:hint="eastAsia"/>
      </w:rPr>
      <w:pict>
        <v:shape id="WordPictureWatermark106075501" o:spid="_x0000_s1093" o:spt="75" type="#_x0000_t75" style="position:absolute;left:0pt;height:476.35pt;width:673.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gain="19661f" blacklevel="22938f" o:title="1"/>
          <o:lock v:ext="edit" aspectratio="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B079C7">
    <w:pPr>
      <w:jc w:val="center"/>
      <w:rPr>
        <w:rFonts w:hint="eastAsia" w:ascii="黑体" w:hAnsi="黑体" w:eastAsia="黑体" w:cs="黑体"/>
      </w:rPr>
    </w:pPr>
    <w:r>
      <w:rPr>
        <w:rFonts w:hint="eastAsia" w:ascii="黑体" w:hAnsi="黑体" w:eastAsia="黑体" w:cs="黑体"/>
      </w:rPr>
      <w:t>贵州省2026年师生数字素养提升实践活动（学生活动）</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4CE9CF">
    <w:pPr>
      <w:widowControl/>
      <w:spacing w:line="240" w:lineRule="auto"/>
      <w:jc w:val="left"/>
      <w:rPr>
        <w:rFonts w:ascii="Times New Roman" w:hAnsi="Times New Roman" w:eastAsia="Times New Roman" w:cs="Times New Roman"/>
        <w:color w:val="D64B40"/>
        <w:kern w:val="0"/>
      </w:rPr>
    </w:pPr>
    <w:r>
      <w:ptab w:relativeTo="margin" w:alignment="center" w:leader="none"/>
    </w:r>
    <w:r>
      <w:ptab w:relativeTo="margin" w:alignment="right" w:leader="none"/>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A9C73D">
    <w:pPr>
      <w:jc w:val="left"/>
      <w:rPr>
        <w:rFonts w:hint="eastAsia" w:eastAsia="微软雅黑"/>
        <w:sz w:val="18"/>
      </w:rPr>
    </w:pPr>
    <w:r>
      <w:rPr>
        <w:rFonts w:hint="eastAsia"/>
        <w:sz w:val="18"/>
      </w:rPr>
      <w:pict>
        <v:shape id="WordPictureWatermark106075504" o:spid="_x0000_s1096" o:spt="75" type="#_x0000_t75" style="position:absolute;left:0pt;height:476.35pt;width:673.5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1" gain="19661f" blacklevel="22938f" o:title="1"/>
          <o:lock v:ext="edit" aspectratio="t"/>
        </v:shape>
      </w:pict>
    </w:r>
    <w:r>
      <w:rPr>
        <w:rFonts w:hint="eastAsia"/>
        <w:sz w:val="18"/>
      </w:rPr>
      <w:pict>
        <v:shape id="_x0000_s1050" o:spid="_x0000_s1050" o:spt="75" type="#_x0000_t75" style="position:absolute;left:0pt;height:107.95pt;width:415.45pt;mso-position-horizontal:center;mso-position-horizontal-relative:margin;mso-position-vertical:center;mso-position-vertical-relative:margin;z-index:-251652096;mso-width-relative:page;mso-height-relative:page;" filled="f" o:preferrelative="t" stroked="f" coordsize="21600,21600" o:allowincell="f">
          <v:path/>
          <v:fill on="f" focussize="0,0"/>
          <v:stroke on="f" joinstyle="miter"/>
          <v:imagedata r:id="rId2" gain="19661f" blacklevel="22938f" o:title="1"/>
          <o:lock v:ext="edit" aspectratio="t"/>
        </v:shape>
      </w:pict>
    </w:r>
    <w:r>
      <w:rPr>
        <w:sz w:val="18"/>
      </w:rPr>
      <w:t>M</w:t>
    </w:r>
    <w:r>
      <w:rPr>
        <w:rFonts w:hint="eastAsia"/>
        <w:sz w:val="18"/>
      </w:rPr>
      <w:t>ake</w:t>
    </w:r>
    <w:r>
      <w:rPr>
        <w:sz w:val="18"/>
      </w:rPr>
      <w:t>X</w:t>
    </w:r>
    <w:r>
      <w:rPr>
        <w:rFonts w:hint="eastAsia" w:eastAsia="思源黑体 CN Heavy"/>
        <w:sz w:val="18"/>
      </w:rPr>
      <w:t>机器人</w:t>
    </w:r>
    <w:r>
      <w:rPr>
        <w:rFonts w:hint="eastAsia"/>
        <w:sz w:val="18"/>
      </w:rPr>
      <w:t>挑战赛—智慧交通技术手册</w:t>
    </w:r>
    <w:r>
      <w:rPr>
        <w:rFonts w:eastAsia="微软雅黑"/>
        <w:sz w:val="18"/>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3675" cy="1370330"/>
          <wp:effectExtent l="0" t="0" r="0" b="0"/>
          <wp:wrapNone/>
          <wp:docPr id="59" name="Picture 59" descr="mak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kex"/>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a:xfrm>
                    <a:off x="0" y="0"/>
                    <a:ext cx="5273675" cy="1370330"/>
                  </a:xfrm>
                  <a:prstGeom prst="rect">
                    <a:avLst/>
                  </a:prstGeom>
                  <a:noFill/>
                </pic:spPr>
              </pic:pic>
            </a:graphicData>
          </a:graphic>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F0928">
    <w:pPr>
      <w:jc w:val="left"/>
      <w:rPr>
        <w:rFonts w:hint="eastAsia" w:eastAsia="微软雅黑"/>
      </w:rPr>
    </w:pPr>
    <w:r>
      <w:rPr>
        <w:rFonts w:hint="eastAsia"/>
      </w:rPr>
      <w:pict>
        <v:shape id="WordPictureWatermark106075503" o:spid="_x0000_s1095" o:spt="75" type="#_x0000_t75" style="position:absolute;left:0pt;height:476.35pt;width:673.5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1" gain="19661f" blacklevel="22938f" o:title="1"/>
          <o:lock v:ext="edit" aspectratio="t"/>
        </v:shape>
      </w:pict>
    </w:r>
    <w:r>
      <w:t>M</w:t>
    </w:r>
    <w:r>
      <w:rPr>
        <w:rFonts w:hint="eastAsia"/>
      </w:rPr>
      <w:t>ake</w:t>
    </w:r>
    <w:r>
      <w:t>X</w:t>
    </w:r>
    <w:r>
      <w:rPr>
        <w:rFonts w:hint="eastAsia" w:eastAsia="思源黑体 CN Heavy"/>
      </w:rPr>
      <w:t>机器人</w:t>
    </w:r>
    <w:r>
      <w:rPr>
        <w:rFonts w:hint="eastAsia"/>
      </w:rPr>
      <w:t>挑战赛—智慧交通技术手册</w:t>
    </w:r>
    <w:r>
      <w:rPr>
        <w:rFonts w:hint="eastAsia" w:eastAsia="微软雅黑"/>
      </w:rPr>
      <w:pict>
        <v:shape id="_x0000_s1033" o:spid="_x0000_s1033" o:spt="75" type="#_x0000_t75" style="position:absolute;left:0pt;height:107.9pt;width:415.2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2" gain="19661f" blacklevel="22938f" o:title="makex"/>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50740E"/>
    <w:multiLevelType w:val="singleLevel"/>
    <w:tmpl w:val="B050740E"/>
    <w:lvl w:ilvl="0" w:tentative="0">
      <w:start w:val="1"/>
      <w:numFmt w:val="decimal"/>
      <w:suff w:val="nothing"/>
      <w:lvlText w:val="%1、"/>
      <w:lvlJc w:val="left"/>
    </w:lvl>
  </w:abstractNum>
  <w:abstractNum w:abstractNumId="1">
    <w:nsid w:val="EEEC4C61"/>
    <w:multiLevelType w:val="singleLevel"/>
    <w:tmpl w:val="EEEC4C61"/>
    <w:lvl w:ilvl="0" w:tentative="0">
      <w:start w:val="1"/>
      <w:numFmt w:val="decimal"/>
      <w:suff w:val="nothing"/>
      <w:lvlText w:val="%1、"/>
      <w:lvlJc w:val="left"/>
    </w:lvl>
  </w:abstractNum>
  <w:abstractNum w:abstractNumId="2">
    <w:nsid w:val="F9E6E03F"/>
    <w:multiLevelType w:val="singleLevel"/>
    <w:tmpl w:val="F9E6E03F"/>
    <w:lvl w:ilvl="0" w:tentative="0">
      <w:start w:val="1"/>
      <w:numFmt w:val="decimal"/>
      <w:suff w:val="nothing"/>
      <w:lvlText w:val="%1、"/>
      <w:lvlJc w:val="left"/>
    </w:lvl>
  </w:abstractNum>
  <w:abstractNum w:abstractNumId="3">
    <w:nsid w:val="FFC5D75C"/>
    <w:multiLevelType w:val="multilevel"/>
    <w:tmpl w:val="FFC5D75C"/>
    <w:lvl w:ilvl="0" w:tentative="0">
      <w:start w:val="1"/>
      <w:numFmt w:val="decimal"/>
      <w:lvlText w:val="%1."/>
      <w:lvlJc w:val="left"/>
      <w:pPr>
        <w:tabs>
          <w:tab w:val="left" w:pos="312"/>
        </w:tabs>
      </w:pPr>
      <w:rPr>
        <w:rFonts w:hint="default" w:ascii="黑体" w:hAnsi="黑体" w:eastAsia="黑体" w:cs="黑体"/>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
    <w:nsid w:val="07A92123"/>
    <w:multiLevelType w:val="multilevel"/>
    <w:tmpl w:val="07A92123"/>
    <w:lvl w:ilvl="0" w:tentative="0">
      <w:start w:val="1"/>
      <w:numFmt w:val="decimal"/>
      <w:pStyle w:val="40"/>
      <w:lvlText w:val="%1. "/>
      <w:lvlJc w:val="left"/>
      <w:pPr>
        <w:ind w:left="420" w:hanging="420"/>
      </w:pPr>
      <w:rPr>
        <w:rFonts w:hint="eastAsia"/>
      </w:rPr>
    </w:lvl>
    <w:lvl w:ilvl="1" w:tentative="0">
      <w:start w:val="1"/>
      <w:numFmt w:val="decimal"/>
      <w:pStyle w:val="37"/>
      <w:lvlText w:val="%1.%2"/>
      <w:lvlJc w:val="left"/>
      <w:pPr>
        <w:ind w:left="704"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5">
    <w:nsid w:val="07FA4B3C"/>
    <w:multiLevelType w:val="singleLevel"/>
    <w:tmpl w:val="07FA4B3C"/>
    <w:lvl w:ilvl="0" w:tentative="0">
      <w:start w:val="1"/>
      <w:numFmt w:val="decimal"/>
      <w:suff w:val="nothing"/>
      <w:lvlText w:val="%1、"/>
      <w:lvlJc w:val="left"/>
    </w:lvl>
  </w:abstractNum>
  <w:abstractNum w:abstractNumId="6">
    <w:nsid w:val="09E9F857"/>
    <w:multiLevelType w:val="singleLevel"/>
    <w:tmpl w:val="09E9F857"/>
    <w:lvl w:ilvl="0" w:tentative="0">
      <w:start w:val="1"/>
      <w:numFmt w:val="decimal"/>
      <w:suff w:val="nothing"/>
      <w:lvlText w:val="（%1）"/>
      <w:lvlJc w:val="left"/>
    </w:lvl>
  </w:abstractNum>
  <w:abstractNum w:abstractNumId="7">
    <w:nsid w:val="0AA8C896"/>
    <w:multiLevelType w:val="multilevel"/>
    <w:tmpl w:val="0AA8C896"/>
    <w:lvl w:ilvl="0" w:tentative="0">
      <w:start w:val="6"/>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8">
    <w:nsid w:val="14ED7933"/>
    <w:multiLevelType w:val="multilevel"/>
    <w:tmpl w:val="14ED7933"/>
    <w:lvl w:ilvl="0" w:tentative="0">
      <w:start w:val="1"/>
      <w:numFmt w:val="decimalZero"/>
      <w:pStyle w:val="51"/>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9">
    <w:nsid w:val="2FC257EB"/>
    <w:multiLevelType w:val="multilevel"/>
    <w:tmpl w:val="2FC257EB"/>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3A0AB784"/>
    <w:multiLevelType w:val="singleLevel"/>
    <w:tmpl w:val="3A0AB784"/>
    <w:lvl w:ilvl="0" w:tentative="0">
      <w:start w:val="1"/>
      <w:numFmt w:val="decimal"/>
      <w:suff w:val="nothing"/>
      <w:lvlText w:val="%1、"/>
      <w:lvlJc w:val="left"/>
    </w:lvl>
  </w:abstractNum>
  <w:abstractNum w:abstractNumId="11">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47"/>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2">
    <w:nsid w:val="3E6E4D17"/>
    <w:multiLevelType w:val="singleLevel"/>
    <w:tmpl w:val="3E6E4D17"/>
    <w:lvl w:ilvl="0" w:tentative="0">
      <w:start w:val="1"/>
      <w:numFmt w:val="decimal"/>
      <w:suff w:val="nothing"/>
      <w:lvlText w:val="%1、"/>
      <w:lvlJc w:val="left"/>
    </w:lvl>
  </w:abstractNum>
  <w:abstractNum w:abstractNumId="13">
    <w:nsid w:val="42E750A4"/>
    <w:multiLevelType w:val="multilevel"/>
    <w:tmpl w:val="42E750A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4">
    <w:nsid w:val="48C79B0B"/>
    <w:multiLevelType w:val="multilevel"/>
    <w:tmpl w:val="48C79B0B"/>
    <w:lvl w:ilvl="0" w:tentative="0">
      <w:start w:val="7"/>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5">
    <w:nsid w:val="49BB9279"/>
    <w:multiLevelType w:val="singleLevel"/>
    <w:tmpl w:val="49BB9279"/>
    <w:lvl w:ilvl="0" w:tentative="0">
      <w:start w:val="1"/>
      <w:numFmt w:val="decimal"/>
      <w:suff w:val="nothing"/>
      <w:lvlText w:val="%1、"/>
      <w:lvlJc w:val="left"/>
    </w:lvl>
  </w:abstractNum>
  <w:abstractNum w:abstractNumId="16">
    <w:nsid w:val="4E5F5408"/>
    <w:multiLevelType w:val="multilevel"/>
    <w:tmpl w:val="4E5F540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7">
    <w:nsid w:val="52652F88"/>
    <w:multiLevelType w:val="multilevel"/>
    <w:tmpl w:val="52652F88"/>
    <w:lvl w:ilvl="0" w:tentative="0">
      <w:start w:val="1"/>
      <w:numFmt w:val="decimalZero"/>
      <w:pStyle w:val="92"/>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18">
    <w:nsid w:val="5B03561F"/>
    <w:multiLevelType w:val="multilevel"/>
    <w:tmpl w:val="5B03561F"/>
    <w:lvl w:ilvl="0" w:tentative="0">
      <w:start w:val="1"/>
      <w:numFmt w:val="decimalZero"/>
      <w:pStyle w:val="58"/>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5EE43A49"/>
    <w:multiLevelType w:val="multilevel"/>
    <w:tmpl w:val="5EE43A49"/>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ind w:left="0" w:firstLine="400"/>
      </w:pPr>
      <w:rPr>
        <w:rFonts w:hint="eastAsia"/>
      </w:rPr>
    </w:lvl>
    <w:lvl w:ilvl="3" w:tentative="0">
      <w:start w:val="1"/>
      <w:numFmt w:val="decimal"/>
      <w:pStyle w:val="5"/>
      <w:suff w:val="nothing"/>
      <w:lvlText w:val="（%4）"/>
      <w:lvlJc w:val="left"/>
      <w:pPr>
        <w:ind w:left="0" w:firstLine="402"/>
      </w:pPr>
      <w:rPr>
        <w:rFonts w:hint="eastAsia"/>
      </w:rPr>
    </w:lvl>
    <w:lvl w:ilvl="4" w:tentative="0">
      <w:start w:val="1"/>
      <w:numFmt w:val="decimalEnclosedCircleChinese"/>
      <w:pStyle w:val="6"/>
      <w:suff w:val="nothing"/>
      <w:lvlText w:val="%5"/>
      <w:lvlJc w:val="left"/>
      <w:pPr>
        <w:ind w:left="0" w:firstLine="402"/>
      </w:pPr>
      <w:rPr>
        <w:rFonts w:hint="eastAsia"/>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abstractNum w:abstractNumId="20">
    <w:nsid w:val="60D94C37"/>
    <w:multiLevelType w:val="singleLevel"/>
    <w:tmpl w:val="60D94C37"/>
    <w:lvl w:ilvl="0" w:tentative="0">
      <w:start w:val="1"/>
      <w:numFmt w:val="decimal"/>
      <w:suff w:val="nothing"/>
      <w:lvlText w:val="%1、"/>
      <w:lvlJc w:val="left"/>
    </w:lvl>
  </w:abstractNum>
  <w:abstractNum w:abstractNumId="21">
    <w:nsid w:val="640E3978"/>
    <w:multiLevelType w:val="multilevel"/>
    <w:tmpl w:val="640E3978"/>
    <w:lvl w:ilvl="0" w:tentative="0">
      <w:start w:val="1"/>
      <w:numFmt w:val="decimalZero"/>
      <w:pStyle w:val="94"/>
      <w:lvlText w:val="R%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rPr>
        <w:rFonts w:hint="eastAsia"/>
      </w:rPr>
    </w:lvl>
    <w:lvl w:ilvl="2" w:tentative="0">
      <w:start w:val="1"/>
      <w:numFmt w:val="lowerRoman"/>
      <w:lvlText w:val="%3."/>
      <w:lvlJc w:val="right"/>
      <w:pPr>
        <w:ind w:left="2111" w:hanging="420"/>
      </w:pPr>
      <w:rPr>
        <w:rFonts w:hint="eastAsia"/>
      </w:rPr>
    </w:lvl>
    <w:lvl w:ilvl="3" w:tentative="0">
      <w:start w:val="1"/>
      <w:numFmt w:val="decimal"/>
      <w:lvlText w:val="%4."/>
      <w:lvlJc w:val="left"/>
      <w:pPr>
        <w:ind w:left="2531" w:hanging="420"/>
      </w:pPr>
      <w:rPr>
        <w:rFonts w:hint="eastAsia"/>
      </w:rPr>
    </w:lvl>
    <w:lvl w:ilvl="4" w:tentative="0">
      <w:start w:val="1"/>
      <w:numFmt w:val="lowerLetter"/>
      <w:lvlText w:val="%5)"/>
      <w:lvlJc w:val="left"/>
      <w:pPr>
        <w:ind w:left="2951" w:hanging="420"/>
      </w:pPr>
      <w:rPr>
        <w:rFonts w:hint="eastAsia"/>
      </w:rPr>
    </w:lvl>
    <w:lvl w:ilvl="5" w:tentative="0">
      <w:start w:val="1"/>
      <w:numFmt w:val="lowerRoman"/>
      <w:lvlText w:val="%6."/>
      <w:lvlJc w:val="right"/>
      <w:pPr>
        <w:ind w:left="3371" w:hanging="420"/>
      </w:pPr>
      <w:rPr>
        <w:rFonts w:hint="eastAsia"/>
      </w:rPr>
    </w:lvl>
    <w:lvl w:ilvl="6" w:tentative="0">
      <w:start w:val="1"/>
      <w:numFmt w:val="decimal"/>
      <w:lvlText w:val="%7."/>
      <w:lvlJc w:val="left"/>
      <w:pPr>
        <w:ind w:left="3791" w:hanging="420"/>
      </w:pPr>
      <w:rPr>
        <w:rFonts w:hint="eastAsia"/>
      </w:rPr>
    </w:lvl>
    <w:lvl w:ilvl="7" w:tentative="0">
      <w:start w:val="1"/>
      <w:numFmt w:val="lowerLetter"/>
      <w:lvlText w:val="%8)"/>
      <w:lvlJc w:val="left"/>
      <w:pPr>
        <w:ind w:left="4211" w:hanging="420"/>
      </w:pPr>
      <w:rPr>
        <w:rFonts w:hint="eastAsia"/>
      </w:rPr>
    </w:lvl>
    <w:lvl w:ilvl="8" w:tentative="0">
      <w:start w:val="1"/>
      <w:numFmt w:val="lowerRoman"/>
      <w:lvlText w:val="%9."/>
      <w:lvlJc w:val="right"/>
      <w:pPr>
        <w:ind w:left="4631" w:hanging="420"/>
      </w:pPr>
      <w:rPr>
        <w:rFonts w:hint="eastAsia"/>
      </w:rPr>
    </w:lvl>
  </w:abstractNum>
  <w:abstractNum w:abstractNumId="22">
    <w:nsid w:val="6F990B5E"/>
    <w:multiLevelType w:val="multilevel"/>
    <w:tmpl w:val="6F990B5E"/>
    <w:lvl w:ilvl="0" w:tentative="0">
      <w:start w:val="1"/>
      <w:numFmt w:val="bullet"/>
      <w:pStyle w:val="35"/>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3">
    <w:nsid w:val="70CA3A0B"/>
    <w:multiLevelType w:val="multilevel"/>
    <w:tmpl w:val="70CA3A0B"/>
    <w:lvl w:ilvl="0" w:tentative="0">
      <w:start w:val="1"/>
      <w:numFmt w:val="decimalZero"/>
      <w:pStyle w:val="97"/>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14:cntxtalts w14:val="0"/>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4">
    <w:nsid w:val="7B164970"/>
    <w:multiLevelType w:val="multilevel"/>
    <w:tmpl w:val="7B164970"/>
    <w:lvl w:ilvl="0" w:tentative="0">
      <w:start w:val="1"/>
      <w:numFmt w:val="decimalZero"/>
      <w:pStyle w:val="52"/>
      <w:lvlText w:val="T%1. "/>
      <w:lvlJc w:val="left"/>
      <w:pPr>
        <w:ind w:left="1211"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num w:numId="1">
    <w:abstractNumId w:val="19"/>
  </w:num>
  <w:num w:numId="2">
    <w:abstractNumId w:val="22"/>
  </w:num>
  <w:num w:numId="3">
    <w:abstractNumId w:val="4"/>
  </w:num>
  <w:num w:numId="4">
    <w:abstractNumId w:val="11"/>
  </w:num>
  <w:num w:numId="5">
    <w:abstractNumId w:val="8"/>
  </w:num>
  <w:num w:numId="6">
    <w:abstractNumId w:val="24"/>
  </w:num>
  <w:num w:numId="7">
    <w:abstractNumId w:val="18"/>
  </w:num>
  <w:num w:numId="8">
    <w:abstractNumId w:val="17"/>
  </w:num>
  <w:num w:numId="9">
    <w:abstractNumId w:val="21"/>
  </w:num>
  <w:num w:numId="10">
    <w:abstractNumId w:val="23"/>
  </w:num>
  <w:num w:numId="11">
    <w:abstractNumId w:val="3"/>
  </w:num>
  <w:num w:numId="12">
    <w:abstractNumId w:val="7"/>
  </w:num>
  <w:num w:numId="13">
    <w:abstractNumId w:val="16"/>
  </w:num>
  <w:num w:numId="14">
    <w:abstractNumId w:val="13"/>
  </w:num>
  <w:num w:numId="15">
    <w:abstractNumId w:val="9"/>
  </w:num>
  <w:num w:numId="16">
    <w:abstractNumId w:val="14"/>
  </w:num>
  <w:num w:numId="17">
    <w:abstractNumId w:val="6"/>
  </w:num>
  <w:num w:numId="18">
    <w:abstractNumId w:val="1"/>
  </w:num>
  <w:num w:numId="19">
    <w:abstractNumId w:val="10"/>
  </w:num>
  <w:num w:numId="20">
    <w:abstractNumId w:val="20"/>
  </w:num>
  <w:num w:numId="21">
    <w:abstractNumId w:val="12"/>
  </w:num>
  <w:num w:numId="22">
    <w:abstractNumId w:val="15"/>
  </w:num>
  <w:num w:numId="23">
    <w:abstractNumId w:val="0"/>
  </w:num>
  <w:num w:numId="24">
    <w:abstractNumId w:val="2"/>
  </w:num>
  <w:num w:numId="2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9"/>
  <w:displayBackgroundShape w:val="1"/>
  <w:bordersDoNotSurroundHeader w:val="0"/>
  <w:bordersDoNotSurroundFooter w:val="0"/>
  <w:documentProtection w:enforcement="0"/>
  <w:defaultTabStop w:val="55"/>
  <w:drawingGridHorizontalSpacing w:val="10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0568"/>
    <w:rsid w:val="00000CD1"/>
    <w:rsid w:val="00001B4C"/>
    <w:rsid w:val="00001E5C"/>
    <w:rsid w:val="00003018"/>
    <w:rsid w:val="0000309A"/>
    <w:rsid w:val="0000333C"/>
    <w:rsid w:val="000033BF"/>
    <w:rsid w:val="0000358F"/>
    <w:rsid w:val="00003799"/>
    <w:rsid w:val="00003A65"/>
    <w:rsid w:val="00004081"/>
    <w:rsid w:val="0000498B"/>
    <w:rsid w:val="00004D65"/>
    <w:rsid w:val="00005405"/>
    <w:rsid w:val="0000585D"/>
    <w:rsid w:val="00005A3B"/>
    <w:rsid w:val="000060FD"/>
    <w:rsid w:val="00006186"/>
    <w:rsid w:val="000066DC"/>
    <w:rsid w:val="0000715F"/>
    <w:rsid w:val="00007168"/>
    <w:rsid w:val="00007174"/>
    <w:rsid w:val="000076F5"/>
    <w:rsid w:val="00007749"/>
    <w:rsid w:val="00007D66"/>
    <w:rsid w:val="00010ACF"/>
    <w:rsid w:val="00011BED"/>
    <w:rsid w:val="00012536"/>
    <w:rsid w:val="000128F5"/>
    <w:rsid w:val="000128FC"/>
    <w:rsid w:val="00012B2E"/>
    <w:rsid w:val="00013090"/>
    <w:rsid w:val="00013BBD"/>
    <w:rsid w:val="00014218"/>
    <w:rsid w:val="0001423A"/>
    <w:rsid w:val="00014884"/>
    <w:rsid w:val="00014C92"/>
    <w:rsid w:val="00014D31"/>
    <w:rsid w:val="00015660"/>
    <w:rsid w:val="00016623"/>
    <w:rsid w:val="00017E95"/>
    <w:rsid w:val="00020146"/>
    <w:rsid w:val="00021332"/>
    <w:rsid w:val="000216BA"/>
    <w:rsid w:val="00021A12"/>
    <w:rsid w:val="00021B7F"/>
    <w:rsid w:val="00021C77"/>
    <w:rsid w:val="00021EB2"/>
    <w:rsid w:val="000220AC"/>
    <w:rsid w:val="000228A0"/>
    <w:rsid w:val="00022B96"/>
    <w:rsid w:val="0002396B"/>
    <w:rsid w:val="00023D36"/>
    <w:rsid w:val="000248A9"/>
    <w:rsid w:val="00024C07"/>
    <w:rsid w:val="00024C68"/>
    <w:rsid w:val="00025069"/>
    <w:rsid w:val="00025190"/>
    <w:rsid w:val="0002531E"/>
    <w:rsid w:val="00026288"/>
    <w:rsid w:val="00026D3C"/>
    <w:rsid w:val="00026D82"/>
    <w:rsid w:val="000272A5"/>
    <w:rsid w:val="00030DD2"/>
    <w:rsid w:val="00031366"/>
    <w:rsid w:val="00031D92"/>
    <w:rsid w:val="00032BEA"/>
    <w:rsid w:val="00032F22"/>
    <w:rsid w:val="00033085"/>
    <w:rsid w:val="00033878"/>
    <w:rsid w:val="00035E5E"/>
    <w:rsid w:val="0003732F"/>
    <w:rsid w:val="00040D00"/>
    <w:rsid w:val="00041832"/>
    <w:rsid w:val="00041AEE"/>
    <w:rsid w:val="00041B98"/>
    <w:rsid w:val="00041E59"/>
    <w:rsid w:val="00042F8E"/>
    <w:rsid w:val="0004309F"/>
    <w:rsid w:val="00043C1B"/>
    <w:rsid w:val="00044221"/>
    <w:rsid w:val="000449C7"/>
    <w:rsid w:val="000456A3"/>
    <w:rsid w:val="00046DFE"/>
    <w:rsid w:val="00047058"/>
    <w:rsid w:val="000476C3"/>
    <w:rsid w:val="00047A46"/>
    <w:rsid w:val="00047BC3"/>
    <w:rsid w:val="00047FD3"/>
    <w:rsid w:val="00050CEA"/>
    <w:rsid w:val="00050E4E"/>
    <w:rsid w:val="0005110D"/>
    <w:rsid w:val="00051BFE"/>
    <w:rsid w:val="00052259"/>
    <w:rsid w:val="000522BE"/>
    <w:rsid w:val="00052E99"/>
    <w:rsid w:val="00053198"/>
    <w:rsid w:val="000535AC"/>
    <w:rsid w:val="0005409D"/>
    <w:rsid w:val="00054202"/>
    <w:rsid w:val="00054F66"/>
    <w:rsid w:val="00055048"/>
    <w:rsid w:val="000552B0"/>
    <w:rsid w:val="000562BA"/>
    <w:rsid w:val="00056339"/>
    <w:rsid w:val="0005672A"/>
    <w:rsid w:val="00056B64"/>
    <w:rsid w:val="00056BE6"/>
    <w:rsid w:val="00057549"/>
    <w:rsid w:val="000575E1"/>
    <w:rsid w:val="0005773E"/>
    <w:rsid w:val="0005775B"/>
    <w:rsid w:val="00060994"/>
    <w:rsid w:val="00060C29"/>
    <w:rsid w:val="00060D0A"/>
    <w:rsid w:val="00060E15"/>
    <w:rsid w:val="00061869"/>
    <w:rsid w:val="00061B56"/>
    <w:rsid w:val="000621DD"/>
    <w:rsid w:val="00062247"/>
    <w:rsid w:val="000622FA"/>
    <w:rsid w:val="000625BF"/>
    <w:rsid w:val="00064071"/>
    <w:rsid w:val="00064430"/>
    <w:rsid w:val="000649B3"/>
    <w:rsid w:val="00064E2B"/>
    <w:rsid w:val="000654B0"/>
    <w:rsid w:val="000656D4"/>
    <w:rsid w:val="00066BCE"/>
    <w:rsid w:val="00066C8F"/>
    <w:rsid w:val="000673C6"/>
    <w:rsid w:val="00070693"/>
    <w:rsid w:val="00070991"/>
    <w:rsid w:val="000718C2"/>
    <w:rsid w:val="000720C2"/>
    <w:rsid w:val="00073C22"/>
    <w:rsid w:val="000745F2"/>
    <w:rsid w:val="00074803"/>
    <w:rsid w:val="00074812"/>
    <w:rsid w:val="00074BCB"/>
    <w:rsid w:val="000750C3"/>
    <w:rsid w:val="00076640"/>
    <w:rsid w:val="00076828"/>
    <w:rsid w:val="00076C76"/>
    <w:rsid w:val="0007755A"/>
    <w:rsid w:val="000775E4"/>
    <w:rsid w:val="00077EC9"/>
    <w:rsid w:val="00080A8B"/>
    <w:rsid w:val="000811F0"/>
    <w:rsid w:val="000818C4"/>
    <w:rsid w:val="00081AE0"/>
    <w:rsid w:val="00082861"/>
    <w:rsid w:val="00082C5F"/>
    <w:rsid w:val="00083A07"/>
    <w:rsid w:val="00083D44"/>
    <w:rsid w:val="00083DCC"/>
    <w:rsid w:val="00083F11"/>
    <w:rsid w:val="00084A9D"/>
    <w:rsid w:val="00084F4B"/>
    <w:rsid w:val="00085264"/>
    <w:rsid w:val="00086951"/>
    <w:rsid w:val="00087160"/>
    <w:rsid w:val="00087DCE"/>
    <w:rsid w:val="00090EFB"/>
    <w:rsid w:val="00092725"/>
    <w:rsid w:val="000928FC"/>
    <w:rsid w:val="00092B1D"/>
    <w:rsid w:val="00093B68"/>
    <w:rsid w:val="000951C2"/>
    <w:rsid w:val="0009528B"/>
    <w:rsid w:val="000952C9"/>
    <w:rsid w:val="00095649"/>
    <w:rsid w:val="0009629F"/>
    <w:rsid w:val="000968C2"/>
    <w:rsid w:val="00096DD2"/>
    <w:rsid w:val="00096EB1"/>
    <w:rsid w:val="0009747E"/>
    <w:rsid w:val="0009771D"/>
    <w:rsid w:val="00097ED8"/>
    <w:rsid w:val="000A02BD"/>
    <w:rsid w:val="000A05A8"/>
    <w:rsid w:val="000A0B45"/>
    <w:rsid w:val="000A1654"/>
    <w:rsid w:val="000A18CE"/>
    <w:rsid w:val="000A1FD3"/>
    <w:rsid w:val="000A268C"/>
    <w:rsid w:val="000A2CF9"/>
    <w:rsid w:val="000A2E33"/>
    <w:rsid w:val="000A3B00"/>
    <w:rsid w:val="000A3C83"/>
    <w:rsid w:val="000A3DEC"/>
    <w:rsid w:val="000A3F2C"/>
    <w:rsid w:val="000A504F"/>
    <w:rsid w:val="000A5114"/>
    <w:rsid w:val="000A5801"/>
    <w:rsid w:val="000A58B0"/>
    <w:rsid w:val="000B0331"/>
    <w:rsid w:val="000B036F"/>
    <w:rsid w:val="000B07BE"/>
    <w:rsid w:val="000B1136"/>
    <w:rsid w:val="000B1539"/>
    <w:rsid w:val="000B1C2A"/>
    <w:rsid w:val="000B285C"/>
    <w:rsid w:val="000B2CA3"/>
    <w:rsid w:val="000B4AA6"/>
    <w:rsid w:val="000B54EE"/>
    <w:rsid w:val="000B6D02"/>
    <w:rsid w:val="000B7616"/>
    <w:rsid w:val="000C0594"/>
    <w:rsid w:val="000C06AA"/>
    <w:rsid w:val="000C0812"/>
    <w:rsid w:val="000C099B"/>
    <w:rsid w:val="000C0BF1"/>
    <w:rsid w:val="000C134F"/>
    <w:rsid w:val="000C1637"/>
    <w:rsid w:val="000C1F91"/>
    <w:rsid w:val="000C2472"/>
    <w:rsid w:val="000C3081"/>
    <w:rsid w:val="000C3B78"/>
    <w:rsid w:val="000C3FB6"/>
    <w:rsid w:val="000C4091"/>
    <w:rsid w:val="000C44A1"/>
    <w:rsid w:val="000C45AC"/>
    <w:rsid w:val="000C4B1E"/>
    <w:rsid w:val="000C4D36"/>
    <w:rsid w:val="000C5086"/>
    <w:rsid w:val="000C521A"/>
    <w:rsid w:val="000C5F2A"/>
    <w:rsid w:val="000C5FBB"/>
    <w:rsid w:val="000C6B91"/>
    <w:rsid w:val="000C7036"/>
    <w:rsid w:val="000C7591"/>
    <w:rsid w:val="000D06AF"/>
    <w:rsid w:val="000D08E7"/>
    <w:rsid w:val="000D0CD0"/>
    <w:rsid w:val="000D10FC"/>
    <w:rsid w:val="000D203C"/>
    <w:rsid w:val="000D2161"/>
    <w:rsid w:val="000D30A7"/>
    <w:rsid w:val="000D31D0"/>
    <w:rsid w:val="000D3351"/>
    <w:rsid w:val="000D36FE"/>
    <w:rsid w:val="000D44C6"/>
    <w:rsid w:val="000D46D4"/>
    <w:rsid w:val="000D4A3A"/>
    <w:rsid w:val="000D512A"/>
    <w:rsid w:val="000D54CB"/>
    <w:rsid w:val="000D6AD1"/>
    <w:rsid w:val="000D6AE0"/>
    <w:rsid w:val="000D72C0"/>
    <w:rsid w:val="000D7350"/>
    <w:rsid w:val="000D7E78"/>
    <w:rsid w:val="000E085E"/>
    <w:rsid w:val="000E0F70"/>
    <w:rsid w:val="000E1B3C"/>
    <w:rsid w:val="000E1C54"/>
    <w:rsid w:val="000E1D69"/>
    <w:rsid w:val="000E1FEE"/>
    <w:rsid w:val="000E2275"/>
    <w:rsid w:val="000E2D9A"/>
    <w:rsid w:val="000E2FEB"/>
    <w:rsid w:val="000E3B30"/>
    <w:rsid w:val="000E4038"/>
    <w:rsid w:val="000E564A"/>
    <w:rsid w:val="000E5A08"/>
    <w:rsid w:val="000E653B"/>
    <w:rsid w:val="000E6982"/>
    <w:rsid w:val="000E6B96"/>
    <w:rsid w:val="000E6D73"/>
    <w:rsid w:val="000E6E40"/>
    <w:rsid w:val="000E703B"/>
    <w:rsid w:val="000E7D43"/>
    <w:rsid w:val="000F2584"/>
    <w:rsid w:val="000F2987"/>
    <w:rsid w:val="000F2EDB"/>
    <w:rsid w:val="000F2FFD"/>
    <w:rsid w:val="000F3767"/>
    <w:rsid w:val="000F4520"/>
    <w:rsid w:val="000F46D9"/>
    <w:rsid w:val="000F4A3B"/>
    <w:rsid w:val="000F4F12"/>
    <w:rsid w:val="000F5A6E"/>
    <w:rsid w:val="000F6478"/>
    <w:rsid w:val="000F6614"/>
    <w:rsid w:val="000F6B5C"/>
    <w:rsid w:val="000F6E51"/>
    <w:rsid w:val="00100699"/>
    <w:rsid w:val="001007D0"/>
    <w:rsid w:val="00102A42"/>
    <w:rsid w:val="00103874"/>
    <w:rsid w:val="001047A1"/>
    <w:rsid w:val="00104820"/>
    <w:rsid w:val="001050CA"/>
    <w:rsid w:val="00105A7E"/>
    <w:rsid w:val="0010617A"/>
    <w:rsid w:val="001061DB"/>
    <w:rsid w:val="00106496"/>
    <w:rsid w:val="001064FA"/>
    <w:rsid w:val="00106899"/>
    <w:rsid w:val="00107968"/>
    <w:rsid w:val="00107A7D"/>
    <w:rsid w:val="00110CAF"/>
    <w:rsid w:val="00110CE7"/>
    <w:rsid w:val="001115B2"/>
    <w:rsid w:val="0011169C"/>
    <w:rsid w:val="00111B5D"/>
    <w:rsid w:val="001121AD"/>
    <w:rsid w:val="00112740"/>
    <w:rsid w:val="00112872"/>
    <w:rsid w:val="00112A2C"/>
    <w:rsid w:val="00112CBC"/>
    <w:rsid w:val="00112F82"/>
    <w:rsid w:val="001138B2"/>
    <w:rsid w:val="0011397C"/>
    <w:rsid w:val="00113B68"/>
    <w:rsid w:val="00113C8C"/>
    <w:rsid w:val="001143AF"/>
    <w:rsid w:val="0011458C"/>
    <w:rsid w:val="00114590"/>
    <w:rsid w:val="0011522C"/>
    <w:rsid w:val="0011522D"/>
    <w:rsid w:val="001156B5"/>
    <w:rsid w:val="001157DE"/>
    <w:rsid w:val="00115807"/>
    <w:rsid w:val="00115D33"/>
    <w:rsid w:val="001166B4"/>
    <w:rsid w:val="001167A3"/>
    <w:rsid w:val="00116BFF"/>
    <w:rsid w:val="00117374"/>
    <w:rsid w:val="001218A5"/>
    <w:rsid w:val="00122076"/>
    <w:rsid w:val="00122498"/>
    <w:rsid w:val="00123733"/>
    <w:rsid w:val="00124D45"/>
    <w:rsid w:val="001250F6"/>
    <w:rsid w:val="00125792"/>
    <w:rsid w:val="00125FEE"/>
    <w:rsid w:val="00126293"/>
    <w:rsid w:val="001265C3"/>
    <w:rsid w:val="00126B9B"/>
    <w:rsid w:val="00127145"/>
    <w:rsid w:val="00127A74"/>
    <w:rsid w:val="00127C46"/>
    <w:rsid w:val="0013051B"/>
    <w:rsid w:val="001317B4"/>
    <w:rsid w:val="00131AA9"/>
    <w:rsid w:val="00131F6D"/>
    <w:rsid w:val="00132CD1"/>
    <w:rsid w:val="00133127"/>
    <w:rsid w:val="00134912"/>
    <w:rsid w:val="001363F6"/>
    <w:rsid w:val="00136868"/>
    <w:rsid w:val="00136E62"/>
    <w:rsid w:val="0013734B"/>
    <w:rsid w:val="0014008D"/>
    <w:rsid w:val="001404B9"/>
    <w:rsid w:val="001409FD"/>
    <w:rsid w:val="00141153"/>
    <w:rsid w:val="00141F95"/>
    <w:rsid w:val="00143A35"/>
    <w:rsid w:val="00144702"/>
    <w:rsid w:val="0014482B"/>
    <w:rsid w:val="0014496A"/>
    <w:rsid w:val="00144C80"/>
    <w:rsid w:val="001451F2"/>
    <w:rsid w:val="00146004"/>
    <w:rsid w:val="001460E2"/>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CDB"/>
    <w:rsid w:val="00151D32"/>
    <w:rsid w:val="001520F8"/>
    <w:rsid w:val="001528C4"/>
    <w:rsid w:val="001537F3"/>
    <w:rsid w:val="0015388B"/>
    <w:rsid w:val="00154393"/>
    <w:rsid w:val="00154F38"/>
    <w:rsid w:val="00155A3B"/>
    <w:rsid w:val="00155BFE"/>
    <w:rsid w:val="00156A09"/>
    <w:rsid w:val="00157677"/>
    <w:rsid w:val="0016172C"/>
    <w:rsid w:val="00161D3E"/>
    <w:rsid w:val="00161ED9"/>
    <w:rsid w:val="00162566"/>
    <w:rsid w:val="001634B9"/>
    <w:rsid w:val="0016353B"/>
    <w:rsid w:val="00164004"/>
    <w:rsid w:val="001655B6"/>
    <w:rsid w:val="00165A5E"/>
    <w:rsid w:val="00165E8B"/>
    <w:rsid w:val="0016646E"/>
    <w:rsid w:val="001672A4"/>
    <w:rsid w:val="00171049"/>
    <w:rsid w:val="00171B7C"/>
    <w:rsid w:val="00171CFF"/>
    <w:rsid w:val="00171FF0"/>
    <w:rsid w:val="00172639"/>
    <w:rsid w:val="0017292B"/>
    <w:rsid w:val="00172F9D"/>
    <w:rsid w:val="00173BA5"/>
    <w:rsid w:val="00174708"/>
    <w:rsid w:val="00174E7C"/>
    <w:rsid w:val="00175056"/>
    <w:rsid w:val="00175777"/>
    <w:rsid w:val="0017582E"/>
    <w:rsid w:val="00175989"/>
    <w:rsid w:val="00175B0C"/>
    <w:rsid w:val="001765E4"/>
    <w:rsid w:val="00177BB7"/>
    <w:rsid w:val="00177D59"/>
    <w:rsid w:val="00180030"/>
    <w:rsid w:val="0018109D"/>
    <w:rsid w:val="00181527"/>
    <w:rsid w:val="00182474"/>
    <w:rsid w:val="00182954"/>
    <w:rsid w:val="00182DEB"/>
    <w:rsid w:val="00184391"/>
    <w:rsid w:val="00184770"/>
    <w:rsid w:val="00185185"/>
    <w:rsid w:val="001851CC"/>
    <w:rsid w:val="00185662"/>
    <w:rsid w:val="001859AB"/>
    <w:rsid w:val="00186B36"/>
    <w:rsid w:val="0018740C"/>
    <w:rsid w:val="00187D99"/>
    <w:rsid w:val="00190674"/>
    <w:rsid w:val="00190C1B"/>
    <w:rsid w:val="0019194A"/>
    <w:rsid w:val="00192A3C"/>
    <w:rsid w:val="00192BB5"/>
    <w:rsid w:val="00193658"/>
    <w:rsid w:val="001945F0"/>
    <w:rsid w:val="0019511A"/>
    <w:rsid w:val="001962A6"/>
    <w:rsid w:val="00196E53"/>
    <w:rsid w:val="0019713B"/>
    <w:rsid w:val="00197CD7"/>
    <w:rsid w:val="001A0CBB"/>
    <w:rsid w:val="001A1097"/>
    <w:rsid w:val="001A22E0"/>
    <w:rsid w:val="001A22FC"/>
    <w:rsid w:val="001A4EC0"/>
    <w:rsid w:val="001A5430"/>
    <w:rsid w:val="001A6188"/>
    <w:rsid w:val="001A7E79"/>
    <w:rsid w:val="001B0AC7"/>
    <w:rsid w:val="001B0E1C"/>
    <w:rsid w:val="001B0FF5"/>
    <w:rsid w:val="001B13EA"/>
    <w:rsid w:val="001B1AA7"/>
    <w:rsid w:val="001B1E98"/>
    <w:rsid w:val="001B2D5A"/>
    <w:rsid w:val="001B2DA8"/>
    <w:rsid w:val="001B2F0E"/>
    <w:rsid w:val="001B32B1"/>
    <w:rsid w:val="001B40B4"/>
    <w:rsid w:val="001B44C7"/>
    <w:rsid w:val="001B454D"/>
    <w:rsid w:val="001B4733"/>
    <w:rsid w:val="001B691D"/>
    <w:rsid w:val="001B6C04"/>
    <w:rsid w:val="001B6DAE"/>
    <w:rsid w:val="001B6E5A"/>
    <w:rsid w:val="001B7D72"/>
    <w:rsid w:val="001C1F26"/>
    <w:rsid w:val="001C2022"/>
    <w:rsid w:val="001C206A"/>
    <w:rsid w:val="001C27AC"/>
    <w:rsid w:val="001C2D8A"/>
    <w:rsid w:val="001C2E96"/>
    <w:rsid w:val="001C426B"/>
    <w:rsid w:val="001C4297"/>
    <w:rsid w:val="001C5238"/>
    <w:rsid w:val="001C537D"/>
    <w:rsid w:val="001C55A5"/>
    <w:rsid w:val="001C5F47"/>
    <w:rsid w:val="001C5FBD"/>
    <w:rsid w:val="001C60E2"/>
    <w:rsid w:val="001C7969"/>
    <w:rsid w:val="001D0499"/>
    <w:rsid w:val="001D0E89"/>
    <w:rsid w:val="001D1A4C"/>
    <w:rsid w:val="001D1EE4"/>
    <w:rsid w:val="001D29C1"/>
    <w:rsid w:val="001D2FC8"/>
    <w:rsid w:val="001D3E55"/>
    <w:rsid w:val="001D417E"/>
    <w:rsid w:val="001D4378"/>
    <w:rsid w:val="001D47F0"/>
    <w:rsid w:val="001D4A39"/>
    <w:rsid w:val="001D5476"/>
    <w:rsid w:val="001D5527"/>
    <w:rsid w:val="001D5802"/>
    <w:rsid w:val="001D736D"/>
    <w:rsid w:val="001D7AB0"/>
    <w:rsid w:val="001E0AE9"/>
    <w:rsid w:val="001E0C16"/>
    <w:rsid w:val="001E164C"/>
    <w:rsid w:val="001E17A3"/>
    <w:rsid w:val="001E1DA7"/>
    <w:rsid w:val="001E1DDB"/>
    <w:rsid w:val="001E2157"/>
    <w:rsid w:val="001E2431"/>
    <w:rsid w:val="001E243B"/>
    <w:rsid w:val="001E25B3"/>
    <w:rsid w:val="001E2C6F"/>
    <w:rsid w:val="001E3827"/>
    <w:rsid w:val="001E3D96"/>
    <w:rsid w:val="001E3FE9"/>
    <w:rsid w:val="001E4953"/>
    <w:rsid w:val="001E512C"/>
    <w:rsid w:val="001E5626"/>
    <w:rsid w:val="001E5779"/>
    <w:rsid w:val="001E5A34"/>
    <w:rsid w:val="001E5BC8"/>
    <w:rsid w:val="001E6017"/>
    <w:rsid w:val="001E615D"/>
    <w:rsid w:val="001E65E7"/>
    <w:rsid w:val="001E675E"/>
    <w:rsid w:val="001E777F"/>
    <w:rsid w:val="001F124A"/>
    <w:rsid w:val="001F1D7B"/>
    <w:rsid w:val="001F1FC0"/>
    <w:rsid w:val="001F315B"/>
    <w:rsid w:val="001F3648"/>
    <w:rsid w:val="001F3709"/>
    <w:rsid w:val="001F48CC"/>
    <w:rsid w:val="001F4D89"/>
    <w:rsid w:val="001F4ED8"/>
    <w:rsid w:val="001F58AD"/>
    <w:rsid w:val="001F6B58"/>
    <w:rsid w:val="001F6C3E"/>
    <w:rsid w:val="001F6D2B"/>
    <w:rsid w:val="001F7060"/>
    <w:rsid w:val="001F72D1"/>
    <w:rsid w:val="001F7626"/>
    <w:rsid w:val="001F7DD6"/>
    <w:rsid w:val="00200B81"/>
    <w:rsid w:val="00200CC7"/>
    <w:rsid w:val="00200EA5"/>
    <w:rsid w:val="002010C4"/>
    <w:rsid w:val="00201947"/>
    <w:rsid w:val="0020287E"/>
    <w:rsid w:val="002034B6"/>
    <w:rsid w:val="002034D5"/>
    <w:rsid w:val="00203519"/>
    <w:rsid w:val="00203AD9"/>
    <w:rsid w:val="002045C5"/>
    <w:rsid w:val="00204712"/>
    <w:rsid w:val="0020477A"/>
    <w:rsid w:val="00205512"/>
    <w:rsid w:val="002068CC"/>
    <w:rsid w:val="0020711B"/>
    <w:rsid w:val="00207678"/>
    <w:rsid w:val="00207A7B"/>
    <w:rsid w:val="00207C29"/>
    <w:rsid w:val="00207C88"/>
    <w:rsid w:val="00207F55"/>
    <w:rsid w:val="00207F91"/>
    <w:rsid w:val="00207FDB"/>
    <w:rsid w:val="00212829"/>
    <w:rsid w:val="00212993"/>
    <w:rsid w:val="00212F0D"/>
    <w:rsid w:val="002134E2"/>
    <w:rsid w:val="00213ACB"/>
    <w:rsid w:val="00213C4C"/>
    <w:rsid w:val="00213C8D"/>
    <w:rsid w:val="00214ABB"/>
    <w:rsid w:val="00215059"/>
    <w:rsid w:val="002154C7"/>
    <w:rsid w:val="00215C96"/>
    <w:rsid w:val="00216A2B"/>
    <w:rsid w:val="00216E29"/>
    <w:rsid w:val="00220491"/>
    <w:rsid w:val="00220AA9"/>
    <w:rsid w:val="00220DAA"/>
    <w:rsid w:val="0022122A"/>
    <w:rsid w:val="00222371"/>
    <w:rsid w:val="002226EC"/>
    <w:rsid w:val="00223217"/>
    <w:rsid w:val="00223434"/>
    <w:rsid w:val="002238A1"/>
    <w:rsid w:val="00223EA8"/>
    <w:rsid w:val="00224BAC"/>
    <w:rsid w:val="002265D8"/>
    <w:rsid w:val="00226664"/>
    <w:rsid w:val="00226CB1"/>
    <w:rsid w:val="00227218"/>
    <w:rsid w:val="002279F6"/>
    <w:rsid w:val="00230B2F"/>
    <w:rsid w:val="00230BE2"/>
    <w:rsid w:val="0023308F"/>
    <w:rsid w:val="0023463D"/>
    <w:rsid w:val="00234F1F"/>
    <w:rsid w:val="00235254"/>
    <w:rsid w:val="00235666"/>
    <w:rsid w:val="002359AB"/>
    <w:rsid w:val="00235D93"/>
    <w:rsid w:val="002362BA"/>
    <w:rsid w:val="002370D2"/>
    <w:rsid w:val="00237167"/>
    <w:rsid w:val="00237FB0"/>
    <w:rsid w:val="00240D55"/>
    <w:rsid w:val="00240E7A"/>
    <w:rsid w:val="00241C1B"/>
    <w:rsid w:val="002425FC"/>
    <w:rsid w:val="00242E25"/>
    <w:rsid w:val="00242F27"/>
    <w:rsid w:val="0024301D"/>
    <w:rsid w:val="002434DD"/>
    <w:rsid w:val="00243CBC"/>
    <w:rsid w:val="00243CD2"/>
    <w:rsid w:val="00243F45"/>
    <w:rsid w:val="00243F9F"/>
    <w:rsid w:val="002442D4"/>
    <w:rsid w:val="00244716"/>
    <w:rsid w:val="00244EA6"/>
    <w:rsid w:val="00245877"/>
    <w:rsid w:val="002459EC"/>
    <w:rsid w:val="002461E7"/>
    <w:rsid w:val="0024621F"/>
    <w:rsid w:val="002465CF"/>
    <w:rsid w:val="00246D84"/>
    <w:rsid w:val="002472BE"/>
    <w:rsid w:val="002476AB"/>
    <w:rsid w:val="00247DE4"/>
    <w:rsid w:val="002502B1"/>
    <w:rsid w:val="00250838"/>
    <w:rsid w:val="0025099A"/>
    <w:rsid w:val="00250F7F"/>
    <w:rsid w:val="00253750"/>
    <w:rsid w:val="00254186"/>
    <w:rsid w:val="002544AF"/>
    <w:rsid w:val="002549E6"/>
    <w:rsid w:val="00254B9B"/>
    <w:rsid w:val="00255C58"/>
    <w:rsid w:val="0025727E"/>
    <w:rsid w:val="002572E0"/>
    <w:rsid w:val="0025737E"/>
    <w:rsid w:val="002578E0"/>
    <w:rsid w:val="00257CBA"/>
    <w:rsid w:val="00257DD1"/>
    <w:rsid w:val="00260363"/>
    <w:rsid w:val="00260505"/>
    <w:rsid w:val="00260FF0"/>
    <w:rsid w:val="00261C77"/>
    <w:rsid w:val="00261D1E"/>
    <w:rsid w:val="0026230C"/>
    <w:rsid w:val="00262489"/>
    <w:rsid w:val="00262856"/>
    <w:rsid w:val="00262EB6"/>
    <w:rsid w:val="00263313"/>
    <w:rsid w:val="00263339"/>
    <w:rsid w:val="00263518"/>
    <w:rsid w:val="002639A1"/>
    <w:rsid w:val="0026415C"/>
    <w:rsid w:val="0026467E"/>
    <w:rsid w:val="00264794"/>
    <w:rsid w:val="00264CBD"/>
    <w:rsid w:val="00265EBD"/>
    <w:rsid w:val="0027052B"/>
    <w:rsid w:val="002713C8"/>
    <w:rsid w:val="0027253E"/>
    <w:rsid w:val="002725E9"/>
    <w:rsid w:val="00272DBE"/>
    <w:rsid w:val="00272E3C"/>
    <w:rsid w:val="00272E50"/>
    <w:rsid w:val="00273993"/>
    <w:rsid w:val="00273C59"/>
    <w:rsid w:val="00274566"/>
    <w:rsid w:val="002751C1"/>
    <w:rsid w:val="00275D2A"/>
    <w:rsid w:val="00275E21"/>
    <w:rsid w:val="00276B76"/>
    <w:rsid w:val="002807C1"/>
    <w:rsid w:val="002808B8"/>
    <w:rsid w:val="00280E68"/>
    <w:rsid w:val="0028212E"/>
    <w:rsid w:val="00282AC1"/>
    <w:rsid w:val="00283FCC"/>
    <w:rsid w:val="002845C6"/>
    <w:rsid w:val="00284BBE"/>
    <w:rsid w:val="00285E8E"/>
    <w:rsid w:val="00286A19"/>
    <w:rsid w:val="00286DAE"/>
    <w:rsid w:val="00290315"/>
    <w:rsid w:val="00290EC3"/>
    <w:rsid w:val="002916C5"/>
    <w:rsid w:val="00291B8E"/>
    <w:rsid w:val="00292399"/>
    <w:rsid w:val="00292768"/>
    <w:rsid w:val="00292D93"/>
    <w:rsid w:val="00292E5E"/>
    <w:rsid w:val="00293920"/>
    <w:rsid w:val="0029433A"/>
    <w:rsid w:val="00295A25"/>
    <w:rsid w:val="00295AA2"/>
    <w:rsid w:val="00295AF8"/>
    <w:rsid w:val="00296829"/>
    <w:rsid w:val="0029697E"/>
    <w:rsid w:val="00296B3A"/>
    <w:rsid w:val="00296B41"/>
    <w:rsid w:val="00297B89"/>
    <w:rsid w:val="002A00AC"/>
    <w:rsid w:val="002A00FF"/>
    <w:rsid w:val="002A028F"/>
    <w:rsid w:val="002A0408"/>
    <w:rsid w:val="002A05DF"/>
    <w:rsid w:val="002A1EB1"/>
    <w:rsid w:val="002A2167"/>
    <w:rsid w:val="002A282D"/>
    <w:rsid w:val="002A3A90"/>
    <w:rsid w:val="002A4047"/>
    <w:rsid w:val="002A4863"/>
    <w:rsid w:val="002A492F"/>
    <w:rsid w:val="002A4972"/>
    <w:rsid w:val="002A4D13"/>
    <w:rsid w:val="002A6D30"/>
    <w:rsid w:val="002A7EED"/>
    <w:rsid w:val="002B0097"/>
    <w:rsid w:val="002B0A08"/>
    <w:rsid w:val="002B11DA"/>
    <w:rsid w:val="002B21EF"/>
    <w:rsid w:val="002B2829"/>
    <w:rsid w:val="002B2C0D"/>
    <w:rsid w:val="002B39D3"/>
    <w:rsid w:val="002B3F29"/>
    <w:rsid w:val="002B3F8F"/>
    <w:rsid w:val="002B4B1A"/>
    <w:rsid w:val="002B4E40"/>
    <w:rsid w:val="002B511B"/>
    <w:rsid w:val="002B511F"/>
    <w:rsid w:val="002B5510"/>
    <w:rsid w:val="002B6CB5"/>
    <w:rsid w:val="002B7102"/>
    <w:rsid w:val="002B7392"/>
    <w:rsid w:val="002C0597"/>
    <w:rsid w:val="002C0BC2"/>
    <w:rsid w:val="002C0E8A"/>
    <w:rsid w:val="002C18FD"/>
    <w:rsid w:val="002C1D0D"/>
    <w:rsid w:val="002C218C"/>
    <w:rsid w:val="002C3D53"/>
    <w:rsid w:val="002C3EA3"/>
    <w:rsid w:val="002C44E3"/>
    <w:rsid w:val="002C4DD3"/>
    <w:rsid w:val="002C5596"/>
    <w:rsid w:val="002C56AF"/>
    <w:rsid w:val="002C57E9"/>
    <w:rsid w:val="002C5B07"/>
    <w:rsid w:val="002C6B72"/>
    <w:rsid w:val="002C7B08"/>
    <w:rsid w:val="002C7BFC"/>
    <w:rsid w:val="002D01AF"/>
    <w:rsid w:val="002D101F"/>
    <w:rsid w:val="002D10C6"/>
    <w:rsid w:val="002D1382"/>
    <w:rsid w:val="002D1951"/>
    <w:rsid w:val="002D245A"/>
    <w:rsid w:val="002D2EA8"/>
    <w:rsid w:val="002D2FA5"/>
    <w:rsid w:val="002D3AB7"/>
    <w:rsid w:val="002D4094"/>
    <w:rsid w:val="002D4168"/>
    <w:rsid w:val="002D56E0"/>
    <w:rsid w:val="002D5933"/>
    <w:rsid w:val="002D59D6"/>
    <w:rsid w:val="002D651D"/>
    <w:rsid w:val="002D6C92"/>
    <w:rsid w:val="002D6F46"/>
    <w:rsid w:val="002D730E"/>
    <w:rsid w:val="002D7A9F"/>
    <w:rsid w:val="002E0C51"/>
    <w:rsid w:val="002E0FB1"/>
    <w:rsid w:val="002E228F"/>
    <w:rsid w:val="002E28D1"/>
    <w:rsid w:val="002E2E04"/>
    <w:rsid w:val="002E2FB8"/>
    <w:rsid w:val="002E3E0E"/>
    <w:rsid w:val="002E3F5C"/>
    <w:rsid w:val="002E4CB8"/>
    <w:rsid w:val="002E5222"/>
    <w:rsid w:val="002E568C"/>
    <w:rsid w:val="002F07C8"/>
    <w:rsid w:val="002F1269"/>
    <w:rsid w:val="002F1E82"/>
    <w:rsid w:val="002F1F9C"/>
    <w:rsid w:val="002F206F"/>
    <w:rsid w:val="002F2E6F"/>
    <w:rsid w:val="002F393D"/>
    <w:rsid w:val="002F434F"/>
    <w:rsid w:val="002F43B9"/>
    <w:rsid w:val="002F43E0"/>
    <w:rsid w:val="002F58DC"/>
    <w:rsid w:val="002F6E9D"/>
    <w:rsid w:val="002F6EDE"/>
    <w:rsid w:val="002F79AE"/>
    <w:rsid w:val="002F7EFB"/>
    <w:rsid w:val="0030058B"/>
    <w:rsid w:val="00301485"/>
    <w:rsid w:val="0030244D"/>
    <w:rsid w:val="00302AA4"/>
    <w:rsid w:val="00302EF4"/>
    <w:rsid w:val="00303547"/>
    <w:rsid w:val="00303980"/>
    <w:rsid w:val="00303E68"/>
    <w:rsid w:val="0030424C"/>
    <w:rsid w:val="00304285"/>
    <w:rsid w:val="00304A8A"/>
    <w:rsid w:val="00305623"/>
    <w:rsid w:val="00306DD1"/>
    <w:rsid w:val="003104E1"/>
    <w:rsid w:val="00310AE8"/>
    <w:rsid w:val="00310C4E"/>
    <w:rsid w:val="00310FE8"/>
    <w:rsid w:val="003115E8"/>
    <w:rsid w:val="00311B63"/>
    <w:rsid w:val="003125D7"/>
    <w:rsid w:val="00312B73"/>
    <w:rsid w:val="0031361C"/>
    <w:rsid w:val="00314FEB"/>
    <w:rsid w:val="003151FE"/>
    <w:rsid w:val="00315666"/>
    <w:rsid w:val="003156DA"/>
    <w:rsid w:val="003202D4"/>
    <w:rsid w:val="0032071D"/>
    <w:rsid w:val="00320EF8"/>
    <w:rsid w:val="0032137A"/>
    <w:rsid w:val="0032156A"/>
    <w:rsid w:val="00321F89"/>
    <w:rsid w:val="003222FE"/>
    <w:rsid w:val="00322A77"/>
    <w:rsid w:val="00322FA5"/>
    <w:rsid w:val="003238AC"/>
    <w:rsid w:val="00323A0B"/>
    <w:rsid w:val="00324191"/>
    <w:rsid w:val="003242F3"/>
    <w:rsid w:val="00324A1B"/>
    <w:rsid w:val="003257D3"/>
    <w:rsid w:val="00326270"/>
    <w:rsid w:val="0032650C"/>
    <w:rsid w:val="00326656"/>
    <w:rsid w:val="0032675B"/>
    <w:rsid w:val="0032676D"/>
    <w:rsid w:val="00327575"/>
    <w:rsid w:val="003275E8"/>
    <w:rsid w:val="003277F7"/>
    <w:rsid w:val="00330696"/>
    <w:rsid w:val="00330B29"/>
    <w:rsid w:val="003312D5"/>
    <w:rsid w:val="0033235F"/>
    <w:rsid w:val="0033280C"/>
    <w:rsid w:val="003329DE"/>
    <w:rsid w:val="00332BC1"/>
    <w:rsid w:val="003333A8"/>
    <w:rsid w:val="0033348C"/>
    <w:rsid w:val="003336E2"/>
    <w:rsid w:val="00334536"/>
    <w:rsid w:val="0033794B"/>
    <w:rsid w:val="00340E14"/>
    <w:rsid w:val="00340F4E"/>
    <w:rsid w:val="00341528"/>
    <w:rsid w:val="0034168D"/>
    <w:rsid w:val="00341E3B"/>
    <w:rsid w:val="0034287C"/>
    <w:rsid w:val="00342D08"/>
    <w:rsid w:val="003434C2"/>
    <w:rsid w:val="003434D3"/>
    <w:rsid w:val="00343E03"/>
    <w:rsid w:val="00344535"/>
    <w:rsid w:val="00345149"/>
    <w:rsid w:val="00345157"/>
    <w:rsid w:val="00346565"/>
    <w:rsid w:val="00346B30"/>
    <w:rsid w:val="00346CC2"/>
    <w:rsid w:val="003474AF"/>
    <w:rsid w:val="00347762"/>
    <w:rsid w:val="00347BB4"/>
    <w:rsid w:val="00350091"/>
    <w:rsid w:val="003508F0"/>
    <w:rsid w:val="00350C59"/>
    <w:rsid w:val="00351A4E"/>
    <w:rsid w:val="00351AA4"/>
    <w:rsid w:val="00352167"/>
    <w:rsid w:val="00352799"/>
    <w:rsid w:val="00352A3D"/>
    <w:rsid w:val="0035309D"/>
    <w:rsid w:val="003534F0"/>
    <w:rsid w:val="00354163"/>
    <w:rsid w:val="003544C1"/>
    <w:rsid w:val="00354734"/>
    <w:rsid w:val="00354A92"/>
    <w:rsid w:val="00356121"/>
    <w:rsid w:val="003561A9"/>
    <w:rsid w:val="003561C6"/>
    <w:rsid w:val="0035621C"/>
    <w:rsid w:val="0035629F"/>
    <w:rsid w:val="0035647C"/>
    <w:rsid w:val="00356547"/>
    <w:rsid w:val="0035683C"/>
    <w:rsid w:val="00356CD9"/>
    <w:rsid w:val="00360884"/>
    <w:rsid w:val="00360B12"/>
    <w:rsid w:val="00361B15"/>
    <w:rsid w:val="00362E76"/>
    <w:rsid w:val="00363D90"/>
    <w:rsid w:val="00364106"/>
    <w:rsid w:val="00364377"/>
    <w:rsid w:val="003649A7"/>
    <w:rsid w:val="003649AF"/>
    <w:rsid w:val="00364F1F"/>
    <w:rsid w:val="00365135"/>
    <w:rsid w:val="00365D2F"/>
    <w:rsid w:val="00366066"/>
    <w:rsid w:val="003668B3"/>
    <w:rsid w:val="00366AD1"/>
    <w:rsid w:val="003672A4"/>
    <w:rsid w:val="00370B25"/>
    <w:rsid w:val="00370B5C"/>
    <w:rsid w:val="00371094"/>
    <w:rsid w:val="003713E1"/>
    <w:rsid w:val="003725B7"/>
    <w:rsid w:val="00372B67"/>
    <w:rsid w:val="00372F59"/>
    <w:rsid w:val="003750F6"/>
    <w:rsid w:val="00375287"/>
    <w:rsid w:val="003754C6"/>
    <w:rsid w:val="003755DC"/>
    <w:rsid w:val="003756FA"/>
    <w:rsid w:val="00375974"/>
    <w:rsid w:val="003759E6"/>
    <w:rsid w:val="003766A4"/>
    <w:rsid w:val="00376C80"/>
    <w:rsid w:val="003775BC"/>
    <w:rsid w:val="00377A85"/>
    <w:rsid w:val="00377BB2"/>
    <w:rsid w:val="003803BE"/>
    <w:rsid w:val="00380C49"/>
    <w:rsid w:val="0038160C"/>
    <w:rsid w:val="00381D2D"/>
    <w:rsid w:val="0038202B"/>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F56"/>
    <w:rsid w:val="003921FF"/>
    <w:rsid w:val="0039243E"/>
    <w:rsid w:val="003930BE"/>
    <w:rsid w:val="00393DA9"/>
    <w:rsid w:val="00393F2F"/>
    <w:rsid w:val="0039479C"/>
    <w:rsid w:val="00394DC9"/>
    <w:rsid w:val="003951AB"/>
    <w:rsid w:val="0039570F"/>
    <w:rsid w:val="00395E8C"/>
    <w:rsid w:val="00396A24"/>
    <w:rsid w:val="00396C80"/>
    <w:rsid w:val="0039703D"/>
    <w:rsid w:val="0039712C"/>
    <w:rsid w:val="00397154"/>
    <w:rsid w:val="00397331"/>
    <w:rsid w:val="003A03AC"/>
    <w:rsid w:val="003A0889"/>
    <w:rsid w:val="003A0947"/>
    <w:rsid w:val="003A0AC7"/>
    <w:rsid w:val="003A0B34"/>
    <w:rsid w:val="003A0D67"/>
    <w:rsid w:val="003A1911"/>
    <w:rsid w:val="003A1D72"/>
    <w:rsid w:val="003A3252"/>
    <w:rsid w:val="003A33E8"/>
    <w:rsid w:val="003A35CD"/>
    <w:rsid w:val="003A3769"/>
    <w:rsid w:val="003A4828"/>
    <w:rsid w:val="003A581D"/>
    <w:rsid w:val="003A5F0A"/>
    <w:rsid w:val="003A64E7"/>
    <w:rsid w:val="003A673E"/>
    <w:rsid w:val="003A68F6"/>
    <w:rsid w:val="003A7677"/>
    <w:rsid w:val="003A7F0C"/>
    <w:rsid w:val="003B0943"/>
    <w:rsid w:val="003B149E"/>
    <w:rsid w:val="003B23A6"/>
    <w:rsid w:val="003B3BA5"/>
    <w:rsid w:val="003B3EB3"/>
    <w:rsid w:val="003B4C4E"/>
    <w:rsid w:val="003B5A66"/>
    <w:rsid w:val="003B5F60"/>
    <w:rsid w:val="003B6497"/>
    <w:rsid w:val="003B757B"/>
    <w:rsid w:val="003B7F00"/>
    <w:rsid w:val="003C0184"/>
    <w:rsid w:val="003C0461"/>
    <w:rsid w:val="003C0B19"/>
    <w:rsid w:val="003C1406"/>
    <w:rsid w:val="003C174C"/>
    <w:rsid w:val="003C1CE7"/>
    <w:rsid w:val="003C28E6"/>
    <w:rsid w:val="003C2CE8"/>
    <w:rsid w:val="003C31DF"/>
    <w:rsid w:val="003C3489"/>
    <w:rsid w:val="003C34B4"/>
    <w:rsid w:val="003C44CC"/>
    <w:rsid w:val="003C4753"/>
    <w:rsid w:val="003C4BD2"/>
    <w:rsid w:val="003C4DAC"/>
    <w:rsid w:val="003C565C"/>
    <w:rsid w:val="003C5F33"/>
    <w:rsid w:val="003C61BB"/>
    <w:rsid w:val="003C65DB"/>
    <w:rsid w:val="003C71FD"/>
    <w:rsid w:val="003C7A51"/>
    <w:rsid w:val="003C7CEE"/>
    <w:rsid w:val="003C7E2B"/>
    <w:rsid w:val="003C7F6C"/>
    <w:rsid w:val="003D043D"/>
    <w:rsid w:val="003D1948"/>
    <w:rsid w:val="003D2706"/>
    <w:rsid w:val="003D3472"/>
    <w:rsid w:val="003D3790"/>
    <w:rsid w:val="003D5073"/>
    <w:rsid w:val="003D5589"/>
    <w:rsid w:val="003D58A1"/>
    <w:rsid w:val="003D6FD7"/>
    <w:rsid w:val="003D72EF"/>
    <w:rsid w:val="003D785C"/>
    <w:rsid w:val="003E06E3"/>
    <w:rsid w:val="003E10E7"/>
    <w:rsid w:val="003E1B4D"/>
    <w:rsid w:val="003E2349"/>
    <w:rsid w:val="003E310B"/>
    <w:rsid w:val="003E33AB"/>
    <w:rsid w:val="003E34E3"/>
    <w:rsid w:val="003E4462"/>
    <w:rsid w:val="003E6762"/>
    <w:rsid w:val="003E7472"/>
    <w:rsid w:val="003E77C1"/>
    <w:rsid w:val="003F0361"/>
    <w:rsid w:val="003F06B3"/>
    <w:rsid w:val="003F0A2C"/>
    <w:rsid w:val="003F0B0D"/>
    <w:rsid w:val="003F109D"/>
    <w:rsid w:val="003F1E1E"/>
    <w:rsid w:val="003F1FA4"/>
    <w:rsid w:val="003F2125"/>
    <w:rsid w:val="003F2141"/>
    <w:rsid w:val="003F21D2"/>
    <w:rsid w:val="003F330D"/>
    <w:rsid w:val="003F41FE"/>
    <w:rsid w:val="003F43D8"/>
    <w:rsid w:val="003F5033"/>
    <w:rsid w:val="003F5465"/>
    <w:rsid w:val="003F5835"/>
    <w:rsid w:val="003F5EAE"/>
    <w:rsid w:val="003F6BBF"/>
    <w:rsid w:val="00401079"/>
    <w:rsid w:val="00401A71"/>
    <w:rsid w:val="00402BAD"/>
    <w:rsid w:val="00403151"/>
    <w:rsid w:val="00403319"/>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3EB5"/>
    <w:rsid w:val="00414403"/>
    <w:rsid w:val="004155F2"/>
    <w:rsid w:val="004159E1"/>
    <w:rsid w:val="0041620E"/>
    <w:rsid w:val="00416514"/>
    <w:rsid w:val="004170C7"/>
    <w:rsid w:val="004175BE"/>
    <w:rsid w:val="0041789D"/>
    <w:rsid w:val="00417C9A"/>
    <w:rsid w:val="004208B8"/>
    <w:rsid w:val="00420EE7"/>
    <w:rsid w:val="004211F0"/>
    <w:rsid w:val="0042128B"/>
    <w:rsid w:val="004217C0"/>
    <w:rsid w:val="00421D24"/>
    <w:rsid w:val="00421DB0"/>
    <w:rsid w:val="00422070"/>
    <w:rsid w:val="00422807"/>
    <w:rsid w:val="00422AD4"/>
    <w:rsid w:val="00422F1C"/>
    <w:rsid w:val="00423699"/>
    <w:rsid w:val="00423E37"/>
    <w:rsid w:val="00424229"/>
    <w:rsid w:val="0042477C"/>
    <w:rsid w:val="0042547D"/>
    <w:rsid w:val="004254DD"/>
    <w:rsid w:val="00425626"/>
    <w:rsid w:val="004261C4"/>
    <w:rsid w:val="00426740"/>
    <w:rsid w:val="004270A1"/>
    <w:rsid w:val="00427226"/>
    <w:rsid w:val="00427315"/>
    <w:rsid w:val="00430298"/>
    <w:rsid w:val="00430C8A"/>
    <w:rsid w:val="00431371"/>
    <w:rsid w:val="00431867"/>
    <w:rsid w:val="00431B87"/>
    <w:rsid w:val="00431D4C"/>
    <w:rsid w:val="0043267E"/>
    <w:rsid w:val="00432BAD"/>
    <w:rsid w:val="004342FE"/>
    <w:rsid w:val="0043461C"/>
    <w:rsid w:val="00434CE1"/>
    <w:rsid w:val="00435A67"/>
    <w:rsid w:val="00435AF4"/>
    <w:rsid w:val="00436A4F"/>
    <w:rsid w:val="00436D2E"/>
    <w:rsid w:val="00437665"/>
    <w:rsid w:val="0043775D"/>
    <w:rsid w:val="004379E7"/>
    <w:rsid w:val="00437B90"/>
    <w:rsid w:val="00437EAB"/>
    <w:rsid w:val="00440790"/>
    <w:rsid w:val="00441A70"/>
    <w:rsid w:val="00441C04"/>
    <w:rsid w:val="004431F8"/>
    <w:rsid w:val="004459DF"/>
    <w:rsid w:val="00446649"/>
    <w:rsid w:val="004467B2"/>
    <w:rsid w:val="004467B5"/>
    <w:rsid w:val="00446B21"/>
    <w:rsid w:val="00446CA4"/>
    <w:rsid w:val="00446E63"/>
    <w:rsid w:val="00447151"/>
    <w:rsid w:val="00447E21"/>
    <w:rsid w:val="00447F60"/>
    <w:rsid w:val="00447F9E"/>
    <w:rsid w:val="00450AEF"/>
    <w:rsid w:val="00450D5C"/>
    <w:rsid w:val="004517D3"/>
    <w:rsid w:val="00451C86"/>
    <w:rsid w:val="00451DEC"/>
    <w:rsid w:val="00451F8F"/>
    <w:rsid w:val="00452510"/>
    <w:rsid w:val="00452572"/>
    <w:rsid w:val="004528C2"/>
    <w:rsid w:val="004528F5"/>
    <w:rsid w:val="00452BF6"/>
    <w:rsid w:val="00453035"/>
    <w:rsid w:val="0045376F"/>
    <w:rsid w:val="00454686"/>
    <w:rsid w:val="00454A89"/>
    <w:rsid w:val="004554C4"/>
    <w:rsid w:val="00455DAF"/>
    <w:rsid w:val="004560C4"/>
    <w:rsid w:val="004568B4"/>
    <w:rsid w:val="00456D40"/>
    <w:rsid w:val="004613F9"/>
    <w:rsid w:val="00461800"/>
    <w:rsid w:val="00461931"/>
    <w:rsid w:val="0046262A"/>
    <w:rsid w:val="00462770"/>
    <w:rsid w:val="004632BD"/>
    <w:rsid w:val="00463DF7"/>
    <w:rsid w:val="00463E72"/>
    <w:rsid w:val="004640A5"/>
    <w:rsid w:val="00464116"/>
    <w:rsid w:val="00464992"/>
    <w:rsid w:val="00464EE9"/>
    <w:rsid w:val="004656EC"/>
    <w:rsid w:val="00465886"/>
    <w:rsid w:val="004658A9"/>
    <w:rsid w:val="0046617F"/>
    <w:rsid w:val="0046638F"/>
    <w:rsid w:val="00467C7A"/>
    <w:rsid w:val="00467DD1"/>
    <w:rsid w:val="00470297"/>
    <w:rsid w:val="00470B1D"/>
    <w:rsid w:val="0047129D"/>
    <w:rsid w:val="00471A1E"/>
    <w:rsid w:val="004721B8"/>
    <w:rsid w:val="00472D2F"/>
    <w:rsid w:val="004736BF"/>
    <w:rsid w:val="00473CB4"/>
    <w:rsid w:val="004747B5"/>
    <w:rsid w:val="00474EA7"/>
    <w:rsid w:val="004750E1"/>
    <w:rsid w:val="00475240"/>
    <w:rsid w:val="0047527C"/>
    <w:rsid w:val="0047612E"/>
    <w:rsid w:val="00476357"/>
    <w:rsid w:val="00476472"/>
    <w:rsid w:val="00476E0C"/>
    <w:rsid w:val="00477162"/>
    <w:rsid w:val="004779F9"/>
    <w:rsid w:val="00477FCD"/>
    <w:rsid w:val="0048027F"/>
    <w:rsid w:val="00480628"/>
    <w:rsid w:val="00480F7E"/>
    <w:rsid w:val="0048168D"/>
    <w:rsid w:val="00482124"/>
    <w:rsid w:val="004821B3"/>
    <w:rsid w:val="00482AD6"/>
    <w:rsid w:val="00483183"/>
    <w:rsid w:val="0048322A"/>
    <w:rsid w:val="00483C81"/>
    <w:rsid w:val="00484122"/>
    <w:rsid w:val="00484690"/>
    <w:rsid w:val="00485C48"/>
    <w:rsid w:val="0048603C"/>
    <w:rsid w:val="00486829"/>
    <w:rsid w:val="0048695F"/>
    <w:rsid w:val="00487A47"/>
    <w:rsid w:val="00490BA2"/>
    <w:rsid w:val="00490F15"/>
    <w:rsid w:val="00491217"/>
    <w:rsid w:val="00491295"/>
    <w:rsid w:val="0049198B"/>
    <w:rsid w:val="004931A2"/>
    <w:rsid w:val="004946C8"/>
    <w:rsid w:val="0049488A"/>
    <w:rsid w:val="0049526D"/>
    <w:rsid w:val="00496C92"/>
    <w:rsid w:val="00496EA3"/>
    <w:rsid w:val="004971EE"/>
    <w:rsid w:val="0049749C"/>
    <w:rsid w:val="00497B3E"/>
    <w:rsid w:val="00497CC6"/>
    <w:rsid w:val="00497CFD"/>
    <w:rsid w:val="00497E8F"/>
    <w:rsid w:val="004A0DE6"/>
    <w:rsid w:val="004A1608"/>
    <w:rsid w:val="004A1CB3"/>
    <w:rsid w:val="004A1DAE"/>
    <w:rsid w:val="004A295B"/>
    <w:rsid w:val="004A30C8"/>
    <w:rsid w:val="004A3966"/>
    <w:rsid w:val="004A3AF5"/>
    <w:rsid w:val="004A4132"/>
    <w:rsid w:val="004A42CB"/>
    <w:rsid w:val="004A50BF"/>
    <w:rsid w:val="004A515C"/>
    <w:rsid w:val="004A53A2"/>
    <w:rsid w:val="004A5438"/>
    <w:rsid w:val="004A587E"/>
    <w:rsid w:val="004A58DD"/>
    <w:rsid w:val="004A5AE9"/>
    <w:rsid w:val="004A73A0"/>
    <w:rsid w:val="004A7DD8"/>
    <w:rsid w:val="004B0668"/>
    <w:rsid w:val="004B1A0A"/>
    <w:rsid w:val="004B34D4"/>
    <w:rsid w:val="004B3D47"/>
    <w:rsid w:val="004B4836"/>
    <w:rsid w:val="004B5AB3"/>
    <w:rsid w:val="004B5BB2"/>
    <w:rsid w:val="004B5D42"/>
    <w:rsid w:val="004B5FE4"/>
    <w:rsid w:val="004B757E"/>
    <w:rsid w:val="004B7CEA"/>
    <w:rsid w:val="004C13DD"/>
    <w:rsid w:val="004C1BB9"/>
    <w:rsid w:val="004C2043"/>
    <w:rsid w:val="004C26DD"/>
    <w:rsid w:val="004C2F46"/>
    <w:rsid w:val="004C326F"/>
    <w:rsid w:val="004C32A9"/>
    <w:rsid w:val="004C34AD"/>
    <w:rsid w:val="004C3CDF"/>
    <w:rsid w:val="004C50EC"/>
    <w:rsid w:val="004C5426"/>
    <w:rsid w:val="004C5A5E"/>
    <w:rsid w:val="004C62AA"/>
    <w:rsid w:val="004C6F53"/>
    <w:rsid w:val="004C6FAC"/>
    <w:rsid w:val="004D0012"/>
    <w:rsid w:val="004D0437"/>
    <w:rsid w:val="004D1271"/>
    <w:rsid w:val="004D1365"/>
    <w:rsid w:val="004D1BFF"/>
    <w:rsid w:val="004D2164"/>
    <w:rsid w:val="004D21E6"/>
    <w:rsid w:val="004D2B64"/>
    <w:rsid w:val="004D2CD2"/>
    <w:rsid w:val="004D343F"/>
    <w:rsid w:val="004D3B2C"/>
    <w:rsid w:val="004D3C4F"/>
    <w:rsid w:val="004D3D6F"/>
    <w:rsid w:val="004D4227"/>
    <w:rsid w:val="004D43F1"/>
    <w:rsid w:val="004D505B"/>
    <w:rsid w:val="004D5628"/>
    <w:rsid w:val="004D5AB4"/>
    <w:rsid w:val="004D6475"/>
    <w:rsid w:val="004D68E8"/>
    <w:rsid w:val="004D6921"/>
    <w:rsid w:val="004D693F"/>
    <w:rsid w:val="004D7413"/>
    <w:rsid w:val="004D7711"/>
    <w:rsid w:val="004E0D5C"/>
    <w:rsid w:val="004E0E1F"/>
    <w:rsid w:val="004E1070"/>
    <w:rsid w:val="004E240A"/>
    <w:rsid w:val="004E2795"/>
    <w:rsid w:val="004E2BEB"/>
    <w:rsid w:val="004E2C54"/>
    <w:rsid w:val="004E3542"/>
    <w:rsid w:val="004E406B"/>
    <w:rsid w:val="004E4EF5"/>
    <w:rsid w:val="004E62B0"/>
    <w:rsid w:val="004E7234"/>
    <w:rsid w:val="004E78C4"/>
    <w:rsid w:val="004E7A05"/>
    <w:rsid w:val="004F02A0"/>
    <w:rsid w:val="004F0AA8"/>
    <w:rsid w:val="004F0CFB"/>
    <w:rsid w:val="004F0D20"/>
    <w:rsid w:val="004F1158"/>
    <w:rsid w:val="004F1541"/>
    <w:rsid w:val="004F4368"/>
    <w:rsid w:val="004F47FE"/>
    <w:rsid w:val="004F4811"/>
    <w:rsid w:val="004F4F12"/>
    <w:rsid w:val="004F5057"/>
    <w:rsid w:val="004F5489"/>
    <w:rsid w:val="004F64FF"/>
    <w:rsid w:val="004F6517"/>
    <w:rsid w:val="004F65A0"/>
    <w:rsid w:val="004F674A"/>
    <w:rsid w:val="004F6C2F"/>
    <w:rsid w:val="004F7960"/>
    <w:rsid w:val="004F7F7B"/>
    <w:rsid w:val="005005EA"/>
    <w:rsid w:val="005006EB"/>
    <w:rsid w:val="00500A40"/>
    <w:rsid w:val="00501362"/>
    <w:rsid w:val="00501625"/>
    <w:rsid w:val="0050174B"/>
    <w:rsid w:val="00501870"/>
    <w:rsid w:val="00501B3B"/>
    <w:rsid w:val="00502282"/>
    <w:rsid w:val="005026F6"/>
    <w:rsid w:val="00502A60"/>
    <w:rsid w:val="00503617"/>
    <w:rsid w:val="005040B4"/>
    <w:rsid w:val="00505914"/>
    <w:rsid w:val="00505D2A"/>
    <w:rsid w:val="00505DDF"/>
    <w:rsid w:val="00506079"/>
    <w:rsid w:val="00506628"/>
    <w:rsid w:val="00506B01"/>
    <w:rsid w:val="0050708E"/>
    <w:rsid w:val="00507383"/>
    <w:rsid w:val="005076C6"/>
    <w:rsid w:val="00507F53"/>
    <w:rsid w:val="00510101"/>
    <w:rsid w:val="00510864"/>
    <w:rsid w:val="00510A5B"/>
    <w:rsid w:val="00510E72"/>
    <w:rsid w:val="005113E8"/>
    <w:rsid w:val="0051222D"/>
    <w:rsid w:val="005143F4"/>
    <w:rsid w:val="005143F5"/>
    <w:rsid w:val="005145FD"/>
    <w:rsid w:val="00514813"/>
    <w:rsid w:val="00514A56"/>
    <w:rsid w:val="00514E31"/>
    <w:rsid w:val="00514FF0"/>
    <w:rsid w:val="005150E4"/>
    <w:rsid w:val="00515332"/>
    <w:rsid w:val="00515D89"/>
    <w:rsid w:val="00515FB2"/>
    <w:rsid w:val="00516687"/>
    <w:rsid w:val="00516C6D"/>
    <w:rsid w:val="0051747C"/>
    <w:rsid w:val="00517C6C"/>
    <w:rsid w:val="005200B8"/>
    <w:rsid w:val="005205EF"/>
    <w:rsid w:val="005208C5"/>
    <w:rsid w:val="005210DD"/>
    <w:rsid w:val="00521AF2"/>
    <w:rsid w:val="00521C72"/>
    <w:rsid w:val="005226D3"/>
    <w:rsid w:val="005226FF"/>
    <w:rsid w:val="00522946"/>
    <w:rsid w:val="00522D86"/>
    <w:rsid w:val="00522E09"/>
    <w:rsid w:val="005232D2"/>
    <w:rsid w:val="00523A1F"/>
    <w:rsid w:val="00524B77"/>
    <w:rsid w:val="00525022"/>
    <w:rsid w:val="0052514D"/>
    <w:rsid w:val="00525325"/>
    <w:rsid w:val="00526418"/>
    <w:rsid w:val="0052650C"/>
    <w:rsid w:val="00526739"/>
    <w:rsid w:val="005267D7"/>
    <w:rsid w:val="00527568"/>
    <w:rsid w:val="005277C2"/>
    <w:rsid w:val="005301AA"/>
    <w:rsid w:val="00530BF7"/>
    <w:rsid w:val="00532258"/>
    <w:rsid w:val="00532313"/>
    <w:rsid w:val="0053236D"/>
    <w:rsid w:val="005323AC"/>
    <w:rsid w:val="00532C7D"/>
    <w:rsid w:val="00533C8D"/>
    <w:rsid w:val="00534B64"/>
    <w:rsid w:val="00534E3C"/>
    <w:rsid w:val="00534F34"/>
    <w:rsid w:val="0053519E"/>
    <w:rsid w:val="00535BC8"/>
    <w:rsid w:val="00536697"/>
    <w:rsid w:val="00536882"/>
    <w:rsid w:val="00536D42"/>
    <w:rsid w:val="00536E09"/>
    <w:rsid w:val="00536E93"/>
    <w:rsid w:val="005372B3"/>
    <w:rsid w:val="00537A08"/>
    <w:rsid w:val="00537D56"/>
    <w:rsid w:val="00540291"/>
    <w:rsid w:val="00540661"/>
    <w:rsid w:val="00540E4D"/>
    <w:rsid w:val="005410A9"/>
    <w:rsid w:val="005418A0"/>
    <w:rsid w:val="00541BFA"/>
    <w:rsid w:val="00542944"/>
    <w:rsid w:val="00542EE6"/>
    <w:rsid w:val="005432D7"/>
    <w:rsid w:val="00543406"/>
    <w:rsid w:val="00543830"/>
    <w:rsid w:val="00543DEF"/>
    <w:rsid w:val="00543EE6"/>
    <w:rsid w:val="00544548"/>
    <w:rsid w:val="00544DCF"/>
    <w:rsid w:val="0054600A"/>
    <w:rsid w:val="005466A9"/>
    <w:rsid w:val="00547942"/>
    <w:rsid w:val="00547E86"/>
    <w:rsid w:val="00550893"/>
    <w:rsid w:val="00550F36"/>
    <w:rsid w:val="00550F69"/>
    <w:rsid w:val="00551392"/>
    <w:rsid w:val="005514DA"/>
    <w:rsid w:val="00551A25"/>
    <w:rsid w:val="005524E5"/>
    <w:rsid w:val="00552A03"/>
    <w:rsid w:val="0055357B"/>
    <w:rsid w:val="00553B1A"/>
    <w:rsid w:val="00554297"/>
    <w:rsid w:val="005548C1"/>
    <w:rsid w:val="00555546"/>
    <w:rsid w:val="00556472"/>
    <w:rsid w:val="005573F4"/>
    <w:rsid w:val="005576EE"/>
    <w:rsid w:val="0055778B"/>
    <w:rsid w:val="005579DC"/>
    <w:rsid w:val="00557BD9"/>
    <w:rsid w:val="00560491"/>
    <w:rsid w:val="0056054A"/>
    <w:rsid w:val="005613E0"/>
    <w:rsid w:val="0056160B"/>
    <w:rsid w:val="005620A4"/>
    <w:rsid w:val="00562B72"/>
    <w:rsid w:val="00562DD3"/>
    <w:rsid w:val="00563009"/>
    <w:rsid w:val="005640EA"/>
    <w:rsid w:val="00564172"/>
    <w:rsid w:val="0056495E"/>
    <w:rsid w:val="00564F73"/>
    <w:rsid w:val="0056508F"/>
    <w:rsid w:val="00565402"/>
    <w:rsid w:val="0056581C"/>
    <w:rsid w:val="00565893"/>
    <w:rsid w:val="005660F6"/>
    <w:rsid w:val="00566314"/>
    <w:rsid w:val="005679FA"/>
    <w:rsid w:val="005714A8"/>
    <w:rsid w:val="005716C1"/>
    <w:rsid w:val="00571FA0"/>
    <w:rsid w:val="00574549"/>
    <w:rsid w:val="00574DF7"/>
    <w:rsid w:val="00575CAD"/>
    <w:rsid w:val="00575FB1"/>
    <w:rsid w:val="0057629D"/>
    <w:rsid w:val="00577EDF"/>
    <w:rsid w:val="00577F81"/>
    <w:rsid w:val="00580CED"/>
    <w:rsid w:val="00580DBC"/>
    <w:rsid w:val="00581AA7"/>
    <w:rsid w:val="00583327"/>
    <w:rsid w:val="00583D68"/>
    <w:rsid w:val="00584240"/>
    <w:rsid w:val="00584A51"/>
    <w:rsid w:val="00584A9F"/>
    <w:rsid w:val="00584D8F"/>
    <w:rsid w:val="00585824"/>
    <w:rsid w:val="005862F7"/>
    <w:rsid w:val="00586304"/>
    <w:rsid w:val="005864A7"/>
    <w:rsid w:val="00586B8D"/>
    <w:rsid w:val="005873FD"/>
    <w:rsid w:val="00587C36"/>
    <w:rsid w:val="005904C6"/>
    <w:rsid w:val="00590755"/>
    <w:rsid w:val="00590B0D"/>
    <w:rsid w:val="00591529"/>
    <w:rsid w:val="00591FC5"/>
    <w:rsid w:val="0059279E"/>
    <w:rsid w:val="005928CB"/>
    <w:rsid w:val="00593957"/>
    <w:rsid w:val="00594F8B"/>
    <w:rsid w:val="00597F06"/>
    <w:rsid w:val="005A0BB2"/>
    <w:rsid w:val="005A2631"/>
    <w:rsid w:val="005A27D3"/>
    <w:rsid w:val="005A2987"/>
    <w:rsid w:val="005A2C85"/>
    <w:rsid w:val="005A2F26"/>
    <w:rsid w:val="005A50F4"/>
    <w:rsid w:val="005A57F7"/>
    <w:rsid w:val="005A6855"/>
    <w:rsid w:val="005A6A82"/>
    <w:rsid w:val="005A7156"/>
    <w:rsid w:val="005A7E2A"/>
    <w:rsid w:val="005B08C4"/>
    <w:rsid w:val="005B1BF9"/>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158"/>
    <w:rsid w:val="005C1D08"/>
    <w:rsid w:val="005C359A"/>
    <w:rsid w:val="005C4AF1"/>
    <w:rsid w:val="005C4F28"/>
    <w:rsid w:val="005C64C9"/>
    <w:rsid w:val="005C6560"/>
    <w:rsid w:val="005C67AC"/>
    <w:rsid w:val="005C6B87"/>
    <w:rsid w:val="005C6BD8"/>
    <w:rsid w:val="005D0E0E"/>
    <w:rsid w:val="005D0F72"/>
    <w:rsid w:val="005D103E"/>
    <w:rsid w:val="005D1BB0"/>
    <w:rsid w:val="005D3056"/>
    <w:rsid w:val="005D313D"/>
    <w:rsid w:val="005D33A3"/>
    <w:rsid w:val="005D38E4"/>
    <w:rsid w:val="005D3944"/>
    <w:rsid w:val="005D4466"/>
    <w:rsid w:val="005D4C8A"/>
    <w:rsid w:val="005D5683"/>
    <w:rsid w:val="005D5859"/>
    <w:rsid w:val="005D5CD1"/>
    <w:rsid w:val="005D601F"/>
    <w:rsid w:val="005D650E"/>
    <w:rsid w:val="005D7416"/>
    <w:rsid w:val="005D79A7"/>
    <w:rsid w:val="005E01B0"/>
    <w:rsid w:val="005E02EB"/>
    <w:rsid w:val="005E064C"/>
    <w:rsid w:val="005E0EC1"/>
    <w:rsid w:val="005E14C8"/>
    <w:rsid w:val="005E1686"/>
    <w:rsid w:val="005E1A47"/>
    <w:rsid w:val="005E21EC"/>
    <w:rsid w:val="005E2289"/>
    <w:rsid w:val="005E26C2"/>
    <w:rsid w:val="005E317F"/>
    <w:rsid w:val="005E3971"/>
    <w:rsid w:val="005E3EA6"/>
    <w:rsid w:val="005E4B1B"/>
    <w:rsid w:val="005E4B4C"/>
    <w:rsid w:val="005E4D82"/>
    <w:rsid w:val="005E5059"/>
    <w:rsid w:val="005E58F3"/>
    <w:rsid w:val="005E592E"/>
    <w:rsid w:val="005E5958"/>
    <w:rsid w:val="005E624E"/>
    <w:rsid w:val="005E6484"/>
    <w:rsid w:val="005E7D08"/>
    <w:rsid w:val="005F0979"/>
    <w:rsid w:val="005F0A5D"/>
    <w:rsid w:val="005F11FC"/>
    <w:rsid w:val="005F2895"/>
    <w:rsid w:val="005F2FF5"/>
    <w:rsid w:val="005F3459"/>
    <w:rsid w:val="005F36E7"/>
    <w:rsid w:val="005F38B9"/>
    <w:rsid w:val="005F47CA"/>
    <w:rsid w:val="005F4AD5"/>
    <w:rsid w:val="005F64EC"/>
    <w:rsid w:val="005F6BF7"/>
    <w:rsid w:val="00600003"/>
    <w:rsid w:val="0060049E"/>
    <w:rsid w:val="006009ED"/>
    <w:rsid w:val="00601268"/>
    <w:rsid w:val="00601529"/>
    <w:rsid w:val="006018B2"/>
    <w:rsid w:val="00601902"/>
    <w:rsid w:val="0060228A"/>
    <w:rsid w:val="0060266A"/>
    <w:rsid w:val="00602D89"/>
    <w:rsid w:val="00603597"/>
    <w:rsid w:val="006039E1"/>
    <w:rsid w:val="00603AAC"/>
    <w:rsid w:val="00603C67"/>
    <w:rsid w:val="00604146"/>
    <w:rsid w:val="0060438E"/>
    <w:rsid w:val="00604980"/>
    <w:rsid w:val="00604FF9"/>
    <w:rsid w:val="00605430"/>
    <w:rsid w:val="0060573F"/>
    <w:rsid w:val="00605904"/>
    <w:rsid w:val="0060627F"/>
    <w:rsid w:val="00606933"/>
    <w:rsid w:val="00606973"/>
    <w:rsid w:val="00607644"/>
    <w:rsid w:val="006079B3"/>
    <w:rsid w:val="00607E30"/>
    <w:rsid w:val="00610732"/>
    <w:rsid w:val="00610F18"/>
    <w:rsid w:val="006110A2"/>
    <w:rsid w:val="00611477"/>
    <w:rsid w:val="00611794"/>
    <w:rsid w:val="006117F6"/>
    <w:rsid w:val="00611C86"/>
    <w:rsid w:val="00611F5A"/>
    <w:rsid w:val="00612495"/>
    <w:rsid w:val="0061293B"/>
    <w:rsid w:val="00613331"/>
    <w:rsid w:val="0061475C"/>
    <w:rsid w:val="00614D9B"/>
    <w:rsid w:val="006158E5"/>
    <w:rsid w:val="00615BF7"/>
    <w:rsid w:val="00617592"/>
    <w:rsid w:val="00617CB2"/>
    <w:rsid w:val="006217BC"/>
    <w:rsid w:val="00621AE5"/>
    <w:rsid w:val="0062276E"/>
    <w:rsid w:val="00623551"/>
    <w:rsid w:val="00624F2B"/>
    <w:rsid w:val="0062618A"/>
    <w:rsid w:val="00627177"/>
    <w:rsid w:val="00630EE8"/>
    <w:rsid w:val="00632402"/>
    <w:rsid w:val="0063269D"/>
    <w:rsid w:val="0063325A"/>
    <w:rsid w:val="00633555"/>
    <w:rsid w:val="00633F56"/>
    <w:rsid w:val="00634DCA"/>
    <w:rsid w:val="00635615"/>
    <w:rsid w:val="00635F8E"/>
    <w:rsid w:val="00636527"/>
    <w:rsid w:val="00637B48"/>
    <w:rsid w:val="00640F58"/>
    <w:rsid w:val="006410D5"/>
    <w:rsid w:val="00641262"/>
    <w:rsid w:val="006417D4"/>
    <w:rsid w:val="00641CC1"/>
    <w:rsid w:val="0064235F"/>
    <w:rsid w:val="006425E8"/>
    <w:rsid w:val="00642AC5"/>
    <w:rsid w:val="0064309D"/>
    <w:rsid w:val="00643419"/>
    <w:rsid w:val="00643A89"/>
    <w:rsid w:val="00644253"/>
    <w:rsid w:val="00644402"/>
    <w:rsid w:val="00645C76"/>
    <w:rsid w:val="00645D86"/>
    <w:rsid w:val="0064639F"/>
    <w:rsid w:val="00646DA1"/>
    <w:rsid w:val="006507C8"/>
    <w:rsid w:val="00650EA4"/>
    <w:rsid w:val="00650F16"/>
    <w:rsid w:val="00651405"/>
    <w:rsid w:val="00651A42"/>
    <w:rsid w:val="00652B3C"/>
    <w:rsid w:val="00653581"/>
    <w:rsid w:val="006536B0"/>
    <w:rsid w:val="00654CBC"/>
    <w:rsid w:val="006554BB"/>
    <w:rsid w:val="00655EE7"/>
    <w:rsid w:val="006567CD"/>
    <w:rsid w:val="00657063"/>
    <w:rsid w:val="00657437"/>
    <w:rsid w:val="0066089E"/>
    <w:rsid w:val="00660B8E"/>
    <w:rsid w:val="00660C11"/>
    <w:rsid w:val="00660C4C"/>
    <w:rsid w:val="00661FA4"/>
    <w:rsid w:val="00662BB4"/>
    <w:rsid w:val="00662D71"/>
    <w:rsid w:val="00663BB1"/>
    <w:rsid w:val="00663BD7"/>
    <w:rsid w:val="006642C1"/>
    <w:rsid w:val="0066486A"/>
    <w:rsid w:val="00664B77"/>
    <w:rsid w:val="00664D9D"/>
    <w:rsid w:val="00665BFC"/>
    <w:rsid w:val="00666568"/>
    <w:rsid w:val="00666612"/>
    <w:rsid w:val="0066775B"/>
    <w:rsid w:val="00667E4E"/>
    <w:rsid w:val="00670048"/>
    <w:rsid w:val="006700AA"/>
    <w:rsid w:val="006703CC"/>
    <w:rsid w:val="00670613"/>
    <w:rsid w:val="00670F7B"/>
    <w:rsid w:val="00671CE9"/>
    <w:rsid w:val="006746E7"/>
    <w:rsid w:val="00676915"/>
    <w:rsid w:val="0067693E"/>
    <w:rsid w:val="00677122"/>
    <w:rsid w:val="00677335"/>
    <w:rsid w:val="006774B3"/>
    <w:rsid w:val="00677BAF"/>
    <w:rsid w:val="006802B4"/>
    <w:rsid w:val="00680325"/>
    <w:rsid w:val="006803D9"/>
    <w:rsid w:val="00680545"/>
    <w:rsid w:val="00680D80"/>
    <w:rsid w:val="00681CC9"/>
    <w:rsid w:val="00681FB9"/>
    <w:rsid w:val="0068214C"/>
    <w:rsid w:val="006822DF"/>
    <w:rsid w:val="00682B1D"/>
    <w:rsid w:val="00682B26"/>
    <w:rsid w:val="00682FCD"/>
    <w:rsid w:val="006843E7"/>
    <w:rsid w:val="00684625"/>
    <w:rsid w:val="00684F7C"/>
    <w:rsid w:val="006852EA"/>
    <w:rsid w:val="00685387"/>
    <w:rsid w:val="006858F5"/>
    <w:rsid w:val="00686718"/>
    <w:rsid w:val="006878AC"/>
    <w:rsid w:val="00687ECF"/>
    <w:rsid w:val="0069038D"/>
    <w:rsid w:val="006908A7"/>
    <w:rsid w:val="006910E5"/>
    <w:rsid w:val="00691D4B"/>
    <w:rsid w:val="00692431"/>
    <w:rsid w:val="00692680"/>
    <w:rsid w:val="0069282B"/>
    <w:rsid w:val="006929A6"/>
    <w:rsid w:val="00692B04"/>
    <w:rsid w:val="00692DAA"/>
    <w:rsid w:val="00693DD6"/>
    <w:rsid w:val="00693E8B"/>
    <w:rsid w:val="0069408F"/>
    <w:rsid w:val="006940C5"/>
    <w:rsid w:val="00694A99"/>
    <w:rsid w:val="00695191"/>
    <w:rsid w:val="0069561F"/>
    <w:rsid w:val="0069573B"/>
    <w:rsid w:val="00696473"/>
    <w:rsid w:val="00696513"/>
    <w:rsid w:val="0069699F"/>
    <w:rsid w:val="00696C5E"/>
    <w:rsid w:val="00696F77"/>
    <w:rsid w:val="006970BF"/>
    <w:rsid w:val="006A1625"/>
    <w:rsid w:val="006A1F0B"/>
    <w:rsid w:val="006A2C8A"/>
    <w:rsid w:val="006A3333"/>
    <w:rsid w:val="006A3490"/>
    <w:rsid w:val="006A3AE4"/>
    <w:rsid w:val="006A3D5F"/>
    <w:rsid w:val="006A4109"/>
    <w:rsid w:val="006A4945"/>
    <w:rsid w:val="006A49C2"/>
    <w:rsid w:val="006A4E16"/>
    <w:rsid w:val="006A5452"/>
    <w:rsid w:val="006A5C13"/>
    <w:rsid w:val="006A5C60"/>
    <w:rsid w:val="006A5CF4"/>
    <w:rsid w:val="006A5D71"/>
    <w:rsid w:val="006A601B"/>
    <w:rsid w:val="006A636E"/>
    <w:rsid w:val="006A6EB8"/>
    <w:rsid w:val="006A7D67"/>
    <w:rsid w:val="006A7E73"/>
    <w:rsid w:val="006B0994"/>
    <w:rsid w:val="006B0C57"/>
    <w:rsid w:val="006B0D2E"/>
    <w:rsid w:val="006B132C"/>
    <w:rsid w:val="006B40F3"/>
    <w:rsid w:val="006B4774"/>
    <w:rsid w:val="006B493B"/>
    <w:rsid w:val="006B58FC"/>
    <w:rsid w:val="006B5CEC"/>
    <w:rsid w:val="006B6DC2"/>
    <w:rsid w:val="006B73A7"/>
    <w:rsid w:val="006B7580"/>
    <w:rsid w:val="006B7B98"/>
    <w:rsid w:val="006B7FB8"/>
    <w:rsid w:val="006C047E"/>
    <w:rsid w:val="006C056A"/>
    <w:rsid w:val="006C0836"/>
    <w:rsid w:val="006C155B"/>
    <w:rsid w:val="006C2110"/>
    <w:rsid w:val="006C3DB6"/>
    <w:rsid w:val="006C4779"/>
    <w:rsid w:val="006C4A9E"/>
    <w:rsid w:val="006C5088"/>
    <w:rsid w:val="006C67AF"/>
    <w:rsid w:val="006C7365"/>
    <w:rsid w:val="006C75A6"/>
    <w:rsid w:val="006C79BD"/>
    <w:rsid w:val="006C7C70"/>
    <w:rsid w:val="006D0228"/>
    <w:rsid w:val="006D12C6"/>
    <w:rsid w:val="006D1553"/>
    <w:rsid w:val="006D1C6E"/>
    <w:rsid w:val="006D1D30"/>
    <w:rsid w:val="006D2A8E"/>
    <w:rsid w:val="006D2BC2"/>
    <w:rsid w:val="006D2FDE"/>
    <w:rsid w:val="006D34A3"/>
    <w:rsid w:val="006D389E"/>
    <w:rsid w:val="006D5746"/>
    <w:rsid w:val="006D662C"/>
    <w:rsid w:val="006D6647"/>
    <w:rsid w:val="006D6F16"/>
    <w:rsid w:val="006D770C"/>
    <w:rsid w:val="006E00BF"/>
    <w:rsid w:val="006E01EC"/>
    <w:rsid w:val="006E05AD"/>
    <w:rsid w:val="006E07B4"/>
    <w:rsid w:val="006E225C"/>
    <w:rsid w:val="006E241D"/>
    <w:rsid w:val="006E3489"/>
    <w:rsid w:val="006E34B4"/>
    <w:rsid w:val="006E3BAF"/>
    <w:rsid w:val="006E4DC6"/>
    <w:rsid w:val="006E6C04"/>
    <w:rsid w:val="006E755C"/>
    <w:rsid w:val="006E7608"/>
    <w:rsid w:val="006F0850"/>
    <w:rsid w:val="006F08F4"/>
    <w:rsid w:val="006F1573"/>
    <w:rsid w:val="006F195A"/>
    <w:rsid w:val="006F1BB1"/>
    <w:rsid w:val="006F1D81"/>
    <w:rsid w:val="006F3AB4"/>
    <w:rsid w:val="006F3B85"/>
    <w:rsid w:val="006F40E2"/>
    <w:rsid w:val="006F430D"/>
    <w:rsid w:val="006F444C"/>
    <w:rsid w:val="006F464A"/>
    <w:rsid w:val="006F46EE"/>
    <w:rsid w:val="006F5071"/>
    <w:rsid w:val="006F543C"/>
    <w:rsid w:val="006F5778"/>
    <w:rsid w:val="006F5F1E"/>
    <w:rsid w:val="006F5FAF"/>
    <w:rsid w:val="006F5FE3"/>
    <w:rsid w:val="006F63D0"/>
    <w:rsid w:val="006F63E8"/>
    <w:rsid w:val="006F77FF"/>
    <w:rsid w:val="006F7BAF"/>
    <w:rsid w:val="00700321"/>
    <w:rsid w:val="0070231B"/>
    <w:rsid w:val="0070231E"/>
    <w:rsid w:val="00702980"/>
    <w:rsid w:val="007037C7"/>
    <w:rsid w:val="00704480"/>
    <w:rsid w:val="0070582F"/>
    <w:rsid w:val="0070609E"/>
    <w:rsid w:val="00707CB9"/>
    <w:rsid w:val="00707E16"/>
    <w:rsid w:val="00711163"/>
    <w:rsid w:val="00711241"/>
    <w:rsid w:val="00711772"/>
    <w:rsid w:val="00711CE0"/>
    <w:rsid w:val="0071220A"/>
    <w:rsid w:val="00713CC4"/>
    <w:rsid w:val="00713EA7"/>
    <w:rsid w:val="0071504D"/>
    <w:rsid w:val="00716030"/>
    <w:rsid w:val="007166AE"/>
    <w:rsid w:val="00717EAD"/>
    <w:rsid w:val="0072033C"/>
    <w:rsid w:val="00720E51"/>
    <w:rsid w:val="007219A7"/>
    <w:rsid w:val="007219D4"/>
    <w:rsid w:val="00722E86"/>
    <w:rsid w:val="0072340F"/>
    <w:rsid w:val="007238E7"/>
    <w:rsid w:val="00723D1A"/>
    <w:rsid w:val="007241BA"/>
    <w:rsid w:val="00724526"/>
    <w:rsid w:val="00724576"/>
    <w:rsid w:val="007251F8"/>
    <w:rsid w:val="00725C81"/>
    <w:rsid w:val="00726644"/>
    <w:rsid w:val="00726A5C"/>
    <w:rsid w:val="00727538"/>
    <w:rsid w:val="007303CA"/>
    <w:rsid w:val="0073150D"/>
    <w:rsid w:val="00731CBD"/>
    <w:rsid w:val="007335FF"/>
    <w:rsid w:val="0073467F"/>
    <w:rsid w:val="00735561"/>
    <w:rsid w:val="00735647"/>
    <w:rsid w:val="00735B36"/>
    <w:rsid w:val="00737094"/>
    <w:rsid w:val="00737AF5"/>
    <w:rsid w:val="00737C6C"/>
    <w:rsid w:val="00737E80"/>
    <w:rsid w:val="00740004"/>
    <w:rsid w:val="00740E83"/>
    <w:rsid w:val="007415DB"/>
    <w:rsid w:val="00741CCE"/>
    <w:rsid w:val="00741D19"/>
    <w:rsid w:val="00742A04"/>
    <w:rsid w:val="00742F56"/>
    <w:rsid w:val="00743AC6"/>
    <w:rsid w:val="00744E01"/>
    <w:rsid w:val="00744F43"/>
    <w:rsid w:val="007453C9"/>
    <w:rsid w:val="007456FE"/>
    <w:rsid w:val="00746167"/>
    <w:rsid w:val="007470C5"/>
    <w:rsid w:val="007470EE"/>
    <w:rsid w:val="00747441"/>
    <w:rsid w:val="00750166"/>
    <w:rsid w:val="00750503"/>
    <w:rsid w:val="007511F0"/>
    <w:rsid w:val="0075127A"/>
    <w:rsid w:val="00751B2E"/>
    <w:rsid w:val="00751CFE"/>
    <w:rsid w:val="00754459"/>
    <w:rsid w:val="0075476E"/>
    <w:rsid w:val="007549A5"/>
    <w:rsid w:val="0075507E"/>
    <w:rsid w:val="0075561C"/>
    <w:rsid w:val="007560BB"/>
    <w:rsid w:val="00756684"/>
    <w:rsid w:val="00756D90"/>
    <w:rsid w:val="0075709A"/>
    <w:rsid w:val="007603CD"/>
    <w:rsid w:val="0076045F"/>
    <w:rsid w:val="0076082A"/>
    <w:rsid w:val="0076125A"/>
    <w:rsid w:val="007618F2"/>
    <w:rsid w:val="00763532"/>
    <w:rsid w:val="0076374B"/>
    <w:rsid w:val="00763A27"/>
    <w:rsid w:val="00763BC3"/>
    <w:rsid w:val="00764013"/>
    <w:rsid w:val="00764558"/>
    <w:rsid w:val="00764F28"/>
    <w:rsid w:val="00765913"/>
    <w:rsid w:val="00767115"/>
    <w:rsid w:val="0077030B"/>
    <w:rsid w:val="0077069C"/>
    <w:rsid w:val="00770F98"/>
    <w:rsid w:val="00771150"/>
    <w:rsid w:val="00771577"/>
    <w:rsid w:val="00771A48"/>
    <w:rsid w:val="00771D65"/>
    <w:rsid w:val="00772073"/>
    <w:rsid w:val="00772422"/>
    <w:rsid w:val="00774233"/>
    <w:rsid w:val="00775274"/>
    <w:rsid w:val="00776C01"/>
    <w:rsid w:val="00776D14"/>
    <w:rsid w:val="0077708D"/>
    <w:rsid w:val="007772AE"/>
    <w:rsid w:val="007800F9"/>
    <w:rsid w:val="00780346"/>
    <w:rsid w:val="0078207F"/>
    <w:rsid w:val="00783C23"/>
    <w:rsid w:val="00783FD1"/>
    <w:rsid w:val="00783FE4"/>
    <w:rsid w:val="0078467F"/>
    <w:rsid w:val="00784CBA"/>
    <w:rsid w:val="007855E8"/>
    <w:rsid w:val="00785AC2"/>
    <w:rsid w:val="00785D63"/>
    <w:rsid w:val="00786B7A"/>
    <w:rsid w:val="00786BDD"/>
    <w:rsid w:val="00787322"/>
    <w:rsid w:val="007873B2"/>
    <w:rsid w:val="00787802"/>
    <w:rsid w:val="0079007A"/>
    <w:rsid w:val="00790261"/>
    <w:rsid w:val="007902FE"/>
    <w:rsid w:val="0079044E"/>
    <w:rsid w:val="00790788"/>
    <w:rsid w:val="007908F0"/>
    <w:rsid w:val="00790CDA"/>
    <w:rsid w:val="0079182F"/>
    <w:rsid w:val="0079184A"/>
    <w:rsid w:val="00791AA5"/>
    <w:rsid w:val="00791C88"/>
    <w:rsid w:val="007921F7"/>
    <w:rsid w:val="007928DC"/>
    <w:rsid w:val="00792BC8"/>
    <w:rsid w:val="00793CB7"/>
    <w:rsid w:val="00794EF1"/>
    <w:rsid w:val="0079562A"/>
    <w:rsid w:val="00795F6B"/>
    <w:rsid w:val="00796411"/>
    <w:rsid w:val="00796641"/>
    <w:rsid w:val="00796886"/>
    <w:rsid w:val="00796BB3"/>
    <w:rsid w:val="00796CB0"/>
    <w:rsid w:val="00797B98"/>
    <w:rsid w:val="00797E5F"/>
    <w:rsid w:val="007A0746"/>
    <w:rsid w:val="007A0B1C"/>
    <w:rsid w:val="007A0CC6"/>
    <w:rsid w:val="007A2156"/>
    <w:rsid w:val="007A28AF"/>
    <w:rsid w:val="007A2D25"/>
    <w:rsid w:val="007A49B1"/>
    <w:rsid w:val="007A5515"/>
    <w:rsid w:val="007A6756"/>
    <w:rsid w:val="007A6C61"/>
    <w:rsid w:val="007A6F67"/>
    <w:rsid w:val="007A6FB1"/>
    <w:rsid w:val="007A7CF8"/>
    <w:rsid w:val="007B083D"/>
    <w:rsid w:val="007B1ACE"/>
    <w:rsid w:val="007B258B"/>
    <w:rsid w:val="007B2B80"/>
    <w:rsid w:val="007B3BC5"/>
    <w:rsid w:val="007B3DF9"/>
    <w:rsid w:val="007B4205"/>
    <w:rsid w:val="007B43E4"/>
    <w:rsid w:val="007B49F1"/>
    <w:rsid w:val="007B4C00"/>
    <w:rsid w:val="007B4F8F"/>
    <w:rsid w:val="007B51C9"/>
    <w:rsid w:val="007B56AD"/>
    <w:rsid w:val="007B5941"/>
    <w:rsid w:val="007B5D4A"/>
    <w:rsid w:val="007B5F26"/>
    <w:rsid w:val="007B6235"/>
    <w:rsid w:val="007B6380"/>
    <w:rsid w:val="007B6415"/>
    <w:rsid w:val="007B707D"/>
    <w:rsid w:val="007C0310"/>
    <w:rsid w:val="007C03F2"/>
    <w:rsid w:val="007C12E7"/>
    <w:rsid w:val="007C1457"/>
    <w:rsid w:val="007C2BA7"/>
    <w:rsid w:val="007C2E97"/>
    <w:rsid w:val="007C3186"/>
    <w:rsid w:val="007C4718"/>
    <w:rsid w:val="007C51DB"/>
    <w:rsid w:val="007C53E1"/>
    <w:rsid w:val="007C5881"/>
    <w:rsid w:val="007C61A8"/>
    <w:rsid w:val="007C6436"/>
    <w:rsid w:val="007C6BED"/>
    <w:rsid w:val="007C6CED"/>
    <w:rsid w:val="007C7FDE"/>
    <w:rsid w:val="007D0A31"/>
    <w:rsid w:val="007D1355"/>
    <w:rsid w:val="007D165C"/>
    <w:rsid w:val="007D19D4"/>
    <w:rsid w:val="007D1D6C"/>
    <w:rsid w:val="007D2276"/>
    <w:rsid w:val="007D2423"/>
    <w:rsid w:val="007D299F"/>
    <w:rsid w:val="007D3B42"/>
    <w:rsid w:val="007D478F"/>
    <w:rsid w:val="007D4800"/>
    <w:rsid w:val="007D4E12"/>
    <w:rsid w:val="007D5F7F"/>
    <w:rsid w:val="007D60C1"/>
    <w:rsid w:val="007D636F"/>
    <w:rsid w:val="007D660E"/>
    <w:rsid w:val="007D669E"/>
    <w:rsid w:val="007D6DC7"/>
    <w:rsid w:val="007E0FA2"/>
    <w:rsid w:val="007E116F"/>
    <w:rsid w:val="007E179B"/>
    <w:rsid w:val="007E20C0"/>
    <w:rsid w:val="007E2D78"/>
    <w:rsid w:val="007E34BE"/>
    <w:rsid w:val="007E3E6D"/>
    <w:rsid w:val="007E3EF4"/>
    <w:rsid w:val="007E406B"/>
    <w:rsid w:val="007E4BA1"/>
    <w:rsid w:val="007E4C9D"/>
    <w:rsid w:val="007E4CD4"/>
    <w:rsid w:val="007E5C1C"/>
    <w:rsid w:val="007E60AF"/>
    <w:rsid w:val="007E6484"/>
    <w:rsid w:val="007E6635"/>
    <w:rsid w:val="007E6F70"/>
    <w:rsid w:val="007F11AB"/>
    <w:rsid w:val="007F1980"/>
    <w:rsid w:val="007F1CD0"/>
    <w:rsid w:val="007F1FC8"/>
    <w:rsid w:val="007F2C80"/>
    <w:rsid w:val="007F2F42"/>
    <w:rsid w:val="007F36CF"/>
    <w:rsid w:val="007F3801"/>
    <w:rsid w:val="007F3EA5"/>
    <w:rsid w:val="007F3F6B"/>
    <w:rsid w:val="007F40A0"/>
    <w:rsid w:val="007F4B7E"/>
    <w:rsid w:val="007F500F"/>
    <w:rsid w:val="007F521C"/>
    <w:rsid w:val="007F52E8"/>
    <w:rsid w:val="007F5487"/>
    <w:rsid w:val="007F586B"/>
    <w:rsid w:val="007F5CF8"/>
    <w:rsid w:val="007F632F"/>
    <w:rsid w:val="007F7579"/>
    <w:rsid w:val="007F78E4"/>
    <w:rsid w:val="007F7D99"/>
    <w:rsid w:val="008009B3"/>
    <w:rsid w:val="00801BD8"/>
    <w:rsid w:val="00802026"/>
    <w:rsid w:val="00802044"/>
    <w:rsid w:val="008025E6"/>
    <w:rsid w:val="00802BB4"/>
    <w:rsid w:val="00802EA4"/>
    <w:rsid w:val="00802EFA"/>
    <w:rsid w:val="00803A9B"/>
    <w:rsid w:val="0080412D"/>
    <w:rsid w:val="00804422"/>
    <w:rsid w:val="0080442B"/>
    <w:rsid w:val="00804841"/>
    <w:rsid w:val="00804C6A"/>
    <w:rsid w:val="00804F5F"/>
    <w:rsid w:val="0080559B"/>
    <w:rsid w:val="0080578F"/>
    <w:rsid w:val="00805A41"/>
    <w:rsid w:val="00805F66"/>
    <w:rsid w:val="00806F35"/>
    <w:rsid w:val="00810718"/>
    <w:rsid w:val="00811831"/>
    <w:rsid w:val="0081187F"/>
    <w:rsid w:val="00811BAC"/>
    <w:rsid w:val="00811DDD"/>
    <w:rsid w:val="008122B4"/>
    <w:rsid w:val="00812D42"/>
    <w:rsid w:val="00813047"/>
    <w:rsid w:val="00813792"/>
    <w:rsid w:val="008141E8"/>
    <w:rsid w:val="00814518"/>
    <w:rsid w:val="0081470D"/>
    <w:rsid w:val="00814F95"/>
    <w:rsid w:val="0081556B"/>
    <w:rsid w:val="00815CB4"/>
    <w:rsid w:val="008165B9"/>
    <w:rsid w:val="00817B67"/>
    <w:rsid w:val="00817D2E"/>
    <w:rsid w:val="00817FAF"/>
    <w:rsid w:val="008204D2"/>
    <w:rsid w:val="00820618"/>
    <w:rsid w:val="008206DD"/>
    <w:rsid w:val="0082083B"/>
    <w:rsid w:val="0082087D"/>
    <w:rsid w:val="008210AE"/>
    <w:rsid w:val="0082168C"/>
    <w:rsid w:val="008218EA"/>
    <w:rsid w:val="00821D81"/>
    <w:rsid w:val="00822E80"/>
    <w:rsid w:val="00823344"/>
    <w:rsid w:val="00823356"/>
    <w:rsid w:val="0082354F"/>
    <w:rsid w:val="008235BF"/>
    <w:rsid w:val="00823C65"/>
    <w:rsid w:val="00823C79"/>
    <w:rsid w:val="0082402A"/>
    <w:rsid w:val="0082430B"/>
    <w:rsid w:val="00824434"/>
    <w:rsid w:val="00825756"/>
    <w:rsid w:val="00826659"/>
    <w:rsid w:val="008269C9"/>
    <w:rsid w:val="00826DC5"/>
    <w:rsid w:val="00827164"/>
    <w:rsid w:val="00827AA6"/>
    <w:rsid w:val="008303C8"/>
    <w:rsid w:val="00830709"/>
    <w:rsid w:val="00830DA8"/>
    <w:rsid w:val="0083190C"/>
    <w:rsid w:val="00831B64"/>
    <w:rsid w:val="00831C20"/>
    <w:rsid w:val="00831FA9"/>
    <w:rsid w:val="008331A9"/>
    <w:rsid w:val="00833665"/>
    <w:rsid w:val="00834230"/>
    <w:rsid w:val="008355F5"/>
    <w:rsid w:val="00835C14"/>
    <w:rsid w:val="00835F84"/>
    <w:rsid w:val="00836B90"/>
    <w:rsid w:val="0083721B"/>
    <w:rsid w:val="008373D3"/>
    <w:rsid w:val="008374CE"/>
    <w:rsid w:val="0083786F"/>
    <w:rsid w:val="0083799D"/>
    <w:rsid w:val="00837C7C"/>
    <w:rsid w:val="008403A5"/>
    <w:rsid w:val="008409B1"/>
    <w:rsid w:val="008415AC"/>
    <w:rsid w:val="008420A1"/>
    <w:rsid w:val="0084224B"/>
    <w:rsid w:val="0084284D"/>
    <w:rsid w:val="00843293"/>
    <w:rsid w:val="00843BC7"/>
    <w:rsid w:val="00844730"/>
    <w:rsid w:val="00844FEA"/>
    <w:rsid w:val="00845229"/>
    <w:rsid w:val="00845363"/>
    <w:rsid w:val="00845568"/>
    <w:rsid w:val="008455D2"/>
    <w:rsid w:val="0084584E"/>
    <w:rsid w:val="00845A1A"/>
    <w:rsid w:val="0084678E"/>
    <w:rsid w:val="00846B5E"/>
    <w:rsid w:val="00847798"/>
    <w:rsid w:val="00847FB1"/>
    <w:rsid w:val="008509B6"/>
    <w:rsid w:val="00850CA4"/>
    <w:rsid w:val="008511F4"/>
    <w:rsid w:val="00852BB9"/>
    <w:rsid w:val="00852CA8"/>
    <w:rsid w:val="00853756"/>
    <w:rsid w:val="00853D79"/>
    <w:rsid w:val="00854CB6"/>
    <w:rsid w:val="00855519"/>
    <w:rsid w:val="0085577F"/>
    <w:rsid w:val="00855BCC"/>
    <w:rsid w:val="00855E03"/>
    <w:rsid w:val="0085757A"/>
    <w:rsid w:val="00857FF8"/>
    <w:rsid w:val="00860BCD"/>
    <w:rsid w:val="0086138D"/>
    <w:rsid w:val="00861F3B"/>
    <w:rsid w:val="00862123"/>
    <w:rsid w:val="00862BCC"/>
    <w:rsid w:val="00863A56"/>
    <w:rsid w:val="00863ABF"/>
    <w:rsid w:val="00864B0D"/>
    <w:rsid w:val="00864B85"/>
    <w:rsid w:val="00865499"/>
    <w:rsid w:val="00865816"/>
    <w:rsid w:val="008661E3"/>
    <w:rsid w:val="00866439"/>
    <w:rsid w:val="00866513"/>
    <w:rsid w:val="00866A44"/>
    <w:rsid w:val="008670B0"/>
    <w:rsid w:val="00867A7C"/>
    <w:rsid w:val="008707B8"/>
    <w:rsid w:val="0087354E"/>
    <w:rsid w:val="008735D5"/>
    <w:rsid w:val="00873726"/>
    <w:rsid w:val="00874586"/>
    <w:rsid w:val="00874706"/>
    <w:rsid w:val="00874D4B"/>
    <w:rsid w:val="008752AC"/>
    <w:rsid w:val="008756BE"/>
    <w:rsid w:val="00875F4F"/>
    <w:rsid w:val="00876E56"/>
    <w:rsid w:val="00877C16"/>
    <w:rsid w:val="008804A7"/>
    <w:rsid w:val="00880BA1"/>
    <w:rsid w:val="008819EA"/>
    <w:rsid w:val="00883ECB"/>
    <w:rsid w:val="00884693"/>
    <w:rsid w:val="00885473"/>
    <w:rsid w:val="00885FA5"/>
    <w:rsid w:val="008869B2"/>
    <w:rsid w:val="00886D05"/>
    <w:rsid w:val="00887404"/>
    <w:rsid w:val="0088787A"/>
    <w:rsid w:val="008879E0"/>
    <w:rsid w:val="00890C34"/>
    <w:rsid w:val="008911AE"/>
    <w:rsid w:val="008912FB"/>
    <w:rsid w:val="008937E0"/>
    <w:rsid w:val="008944F4"/>
    <w:rsid w:val="0089491B"/>
    <w:rsid w:val="00894F67"/>
    <w:rsid w:val="00895182"/>
    <w:rsid w:val="008957E0"/>
    <w:rsid w:val="00895A75"/>
    <w:rsid w:val="00896F47"/>
    <w:rsid w:val="00897A88"/>
    <w:rsid w:val="00897E49"/>
    <w:rsid w:val="008A02DE"/>
    <w:rsid w:val="008A0407"/>
    <w:rsid w:val="008A09A0"/>
    <w:rsid w:val="008A1788"/>
    <w:rsid w:val="008A1D41"/>
    <w:rsid w:val="008A21FE"/>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1C8"/>
    <w:rsid w:val="008A7B17"/>
    <w:rsid w:val="008B0093"/>
    <w:rsid w:val="008B0154"/>
    <w:rsid w:val="008B1011"/>
    <w:rsid w:val="008B194F"/>
    <w:rsid w:val="008B1F9A"/>
    <w:rsid w:val="008B2E1E"/>
    <w:rsid w:val="008B3016"/>
    <w:rsid w:val="008B36BA"/>
    <w:rsid w:val="008B5C3C"/>
    <w:rsid w:val="008B6225"/>
    <w:rsid w:val="008B63F8"/>
    <w:rsid w:val="008B7A3D"/>
    <w:rsid w:val="008C2FB6"/>
    <w:rsid w:val="008C358D"/>
    <w:rsid w:val="008C45D7"/>
    <w:rsid w:val="008C478C"/>
    <w:rsid w:val="008C571B"/>
    <w:rsid w:val="008C5990"/>
    <w:rsid w:val="008C644B"/>
    <w:rsid w:val="008C6705"/>
    <w:rsid w:val="008C7652"/>
    <w:rsid w:val="008D0015"/>
    <w:rsid w:val="008D0BC2"/>
    <w:rsid w:val="008D161A"/>
    <w:rsid w:val="008D2923"/>
    <w:rsid w:val="008D3149"/>
    <w:rsid w:val="008D35FB"/>
    <w:rsid w:val="008D3CA8"/>
    <w:rsid w:val="008D3DF5"/>
    <w:rsid w:val="008D4C09"/>
    <w:rsid w:val="008D5B54"/>
    <w:rsid w:val="008D634F"/>
    <w:rsid w:val="008D67EF"/>
    <w:rsid w:val="008D70E0"/>
    <w:rsid w:val="008D72EE"/>
    <w:rsid w:val="008D7362"/>
    <w:rsid w:val="008D7701"/>
    <w:rsid w:val="008D7C30"/>
    <w:rsid w:val="008E015C"/>
    <w:rsid w:val="008E036D"/>
    <w:rsid w:val="008E098C"/>
    <w:rsid w:val="008E0B86"/>
    <w:rsid w:val="008E1841"/>
    <w:rsid w:val="008E1A12"/>
    <w:rsid w:val="008E1B8C"/>
    <w:rsid w:val="008E1B9D"/>
    <w:rsid w:val="008E23F1"/>
    <w:rsid w:val="008E25B7"/>
    <w:rsid w:val="008E4923"/>
    <w:rsid w:val="008E49B4"/>
    <w:rsid w:val="008E524C"/>
    <w:rsid w:val="008E6FCA"/>
    <w:rsid w:val="008F0961"/>
    <w:rsid w:val="008F09C6"/>
    <w:rsid w:val="008F2C4A"/>
    <w:rsid w:val="008F37C2"/>
    <w:rsid w:val="008F383D"/>
    <w:rsid w:val="008F6FA8"/>
    <w:rsid w:val="0090007A"/>
    <w:rsid w:val="00900FEE"/>
    <w:rsid w:val="00901020"/>
    <w:rsid w:val="00902B48"/>
    <w:rsid w:val="009032E8"/>
    <w:rsid w:val="00903CBF"/>
    <w:rsid w:val="00903D3D"/>
    <w:rsid w:val="00904296"/>
    <w:rsid w:val="009049D9"/>
    <w:rsid w:val="009054AD"/>
    <w:rsid w:val="00905797"/>
    <w:rsid w:val="00906CA1"/>
    <w:rsid w:val="00906D3C"/>
    <w:rsid w:val="009071A2"/>
    <w:rsid w:val="009078E5"/>
    <w:rsid w:val="00907950"/>
    <w:rsid w:val="00907A3F"/>
    <w:rsid w:val="00907F4A"/>
    <w:rsid w:val="00910403"/>
    <w:rsid w:val="00910657"/>
    <w:rsid w:val="00911782"/>
    <w:rsid w:val="00911BA4"/>
    <w:rsid w:val="009124B0"/>
    <w:rsid w:val="0091328E"/>
    <w:rsid w:val="0091355D"/>
    <w:rsid w:val="00913832"/>
    <w:rsid w:val="0091383A"/>
    <w:rsid w:val="00913C5C"/>
    <w:rsid w:val="00913C86"/>
    <w:rsid w:val="0091436C"/>
    <w:rsid w:val="00914D75"/>
    <w:rsid w:val="0091565C"/>
    <w:rsid w:val="00915AFF"/>
    <w:rsid w:val="00916638"/>
    <w:rsid w:val="009169C8"/>
    <w:rsid w:val="00917A45"/>
    <w:rsid w:val="00917F97"/>
    <w:rsid w:val="0092006D"/>
    <w:rsid w:val="009206D1"/>
    <w:rsid w:val="00920713"/>
    <w:rsid w:val="00921681"/>
    <w:rsid w:val="009216C0"/>
    <w:rsid w:val="00921CDF"/>
    <w:rsid w:val="0092247A"/>
    <w:rsid w:val="00923090"/>
    <w:rsid w:val="00923CCF"/>
    <w:rsid w:val="0092521D"/>
    <w:rsid w:val="0092531F"/>
    <w:rsid w:val="00925EE5"/>
    <w:rsid w:val="00926B34"/>
    <w:rsid w:val="00926EAB"/>
    <w:rsid w:val="00926F59"/>
    <w:rsid w:val="00927777"/>
    <w:rsid w:val="009278C1"/>
    <w:rsid w:val="00927C4B"/>
    <w:rsid w:val="00930021"/>
    <w:rsid w:val="009302EF"/>
    <w:rsid w:val="009308E2"/>
    <w:rsid w:val="00931141"/>
    <w:rsid w:val="009317BE"/>
    <w:rsid w:val="00931D89"/>
    <w:rsid w:val="00932477"/>
    <w:rsid w:val="00933127"/>
    <w:rsid w:val="00933E2E"/>
    <w:rsid w:val="00935916"/>
    <w:rsid w:val="00935921"/>
    <w:rsid w:val="00936240"/>
    <w:rsid w:val="0093627D"/>
    <w:rsid w:val="00936BDF"/>
    <w:rsid w:val="00936F0B"/>
    <w:rsid w:val="00937DA6"/>
    <w:rsid w:val="009405C8"/>
    <w:rsid w:val="00940F13"/>
    <w:rsid w:val="00941256"/>
    <w:rsid w:val="00942281"/>
    <w:rsid w:val="00942632"/>
    <w:rsid w:val="009434AE"/>
    <w:rsid w:val="0094359D"/>
    <w:rsid w:val="00944D7C"/>
    <w:rsid w:val="00946329"/>
    <w:rsid w:val="009469A5"/>
    <w:rsid w:val="00946D31"/>
    <w:rsid w:val="00946E2B"/>
    <w:rsid w:val="00946F8B"/>
    <w:rsid w:val="00947255"/>
    <w:rsid w:val="00947DB8"/>
    <w:rsid w:val="00950CEF"/>
    <w:rsid w:val="00950D78"/>
    <w:rsid w:val="009515A4"/>
    <w:rsid w:val="009527A4"/>
    <w:rsid w:val="0095317E"/>
    <w:rsid w:val="009537CD"/>
    <w:rsid w:val="00954117"/>
    <w:rsid w:val="00954B8C"/>
    <w:rsid w:val="00954E35"/>
    <w:rsid w:val="00955356"/>
    <w:rsid w:val="00955559"/>
    <w:rsid w:val="009555A5"/>
    <w:rsid w:val="00955969"/>
    <w:rsid w:val="00955A99"/>
    <w:rsid w:val="00955B93"/>
    <w:rsid w:val="00955F0B"/>
    <w:rsid w:val="00956091"/>
    <w:rsid w:val="0095645B"/>
    <w:rsid w:val="0095736D"/>
    <w:rsid w:val="009578AD"/>
    <w:rsid w:val="00957A07"/>
    <w:rsid w:val="009604AD"/>
    <w:rsid w:val="00961651"/>
    <w:rsid w:val="00961F30"/>
    <w:rsid w:val="00961F91"/>
    <w:rsid w:val="0096279A"/>
    <w:rsid w:val="00962D64"/>
    <w:rsid w:val="0096360E"/>
    <w:rsid w:val="00963B35"/>
    <w:rsid w:val="00963E62"/>
    <w:rsid w:val="009657E8"/>
    <w:rsid w:val="00965D1A"/>
    <w:rsid w:val="00965DB2"/>
    <w:rsid w:val="009669CC"/>
    <w:rsid w:val="00967A6C"/>
    <w:rsid w:val="00970D82"/>
    <w:rsid w:val="00971030"/>
    <w:rsid w:val="00971687"/>
    <w:rsid w:val="00971CF5"/>
    <w:rsid w:val="0097259F"/>
    <w:rsid w:val="00972BB4"/>
    <w:rsid w:val="009730C7"/>
    <w:rsid w:val="0097313E"/>
    <w:rsid w:val="00973D89"/>
    <w:rsid w:val="0097462A"/>
    <w:rsid w:val="009748F1"/>
    <w:rsid w:val="0097533D"/>
    <w:rsid w:val="00975624"/>
    <w:rsid w:val="00975F83"/>
    <w:rsid w:val="009760E6"/>
    <w:rsid w:val="0097643B"/>
    <w:rsid w:val="009776A5"/>
    <w:rsid w:val="0097779D"/>
    <w:rsid w:val="00977BA8"/>
    <w:rsid w:val="00977F70"/>
    <w:rsid w:val="00981CA3"/>
    <w:rsid w:val="00981E6C"/>
    <w:rsid w:val="009822E3"/>
    <w:rsid w:val="00982507"/>
    <w:rsid w:val="00982519"/>
    <w:rsid w:val="009836CC"/>
    <w:rsid w:val="00983783"/>
    <w:rsid w:val="00984A4C"/>
    <w:rsid w:val="00985681"/>
    <w:rsid w:val="009856B6"/>
    <w:rsid w:val="009856F1"/>
    <w:rsid w:val="00985A3A"/>
    <w:rsid w:val="00985D61"/>
    <w:rsid w:val="00986728"/>
    <w:rsid w:val="00986A54"/>
    <w:rsid w:val="00986D2F"/>
    <w:rsid w:val="00986FDF"/>
    <w:rsid w:val="00987089"/>
    <w:rsid w:val="00987095"/>
    <w:rsid w:val="009870BD"/>
    <w:rsid w:val="009875D0"/>
    <w:rsid w:val="0099012D"/>
    <w:rsid w:val="00990168"/>
    <w:rsid w:val="0099088F"/>
    <w:rsid w:val="0099109B"/>
    <w:rsid w:val="00991976"/>
    <w:rsid w:val="00992A31"/>
    <w:rsid w:val="00992E52"/>
    <w:rsid w:val="009937BE"/>
    <w:rsid w:val="00993C17"/>
    <w:rsid w:val="009943D0"/>
    <w:rsid w:val="00994CB0"/>
    <w:rsid w:val="009958CC"/>
    <w:rsid w:val="00996DC6"/>
    <w:rsid w:val="009971BB"/>
    <w:rsid w:val="00997900"/>
    <w:rsid w:val="009A003B"/>
    <w:rsid w:val="009A01D8"/>
    <w:rsid w:val="009A0C20"/>
    <w:rsid w:val="009A0CE4"/>
    <w:rsid w:val="009A263F"/>
    <w:rsid w:val="009A286A"/>
    <w:rsid w:val="009A2926"/>
    <w:rsid w:val="009A3057"/>
    <w:rsid w:val="009A3223"/>
    <w:rsid w:val="009A3490"/>
    <w:rsid w:val="009A3555"/>
    <w:rsid w:val="009A3659"/>
    <w:rsid w:val="009A3B3C"/>
    <w:rsid w:val="009A3FF1"/>
    <w:rsid w:val="009A4BC4"/>
    <w:rsid w:val="009A4CDF"/>
    <w:rsid w:val="009A4F20"/>
    <w:rsid w:val="009A4F7A"/>
    <w:rsid w:val="009A5561"/>
    <w:rsid w:val="009A5968"/>
    <w:rsid w:val="009A5AC7"/>
    <w:rsid w:val="009A721D"/>
    <w:rsid w:val="009A748D"/>
    <w:rsid w:val="009A7888"/>
    <w:rsid w:val="009A7DE9"/>
    <w:rsid w:val="009B000F"/>
    <w:rsid w:val="009B04AC"/>
    <w:rsid w:val="009B0566"/>
    <w:rsid w:val="009B0F68"/>
    <w:rsid w:val="009B25A9"/>
    <w:rsid w:val="009B2615"/>
    <w:rsid w:val="009B340E"/>
    <w:rsid w:val="009B3893"/>
    <w:rsid w:val="009B3920"/>
    <w:rsid w:val="009B42A3"/>
    <w:rsid w:val="009B4367"/>
    <w:rsid w:val="009B4E56"/>
    <w:rsid w:val="009B4E91"/>
    <w:rsid w:val="009B5070"/>
    <w:rsid w:val="009B52AD"/>
    <w:rsid w:val="009B5C31"/>
    <w:rsid w:val="009B62E5"/>
    <w:rsid w:val="009B65E1"/>
    <w:rsid w:val="009B664D"/>
    <w:rsid w:val="009B6A0D"/>
    <w:rsid w:val="009B6A39"/>
    <w:rsid w:val="009B720F"/>
    <w:rsid w:val="009B783C"/>
    <w:rsid w:val="009B7B2A"/>
    <w:rsid w:val="009C075D"/>
    <w:rsid w:val="009C0F4C"/>
    <w:rsid w:val="009C14F2"/>
    <w:rsid w:val="009C18A4"/>
    <w:rsid w:val="009C18F0"/>
    <w:rsid w:val="009C1DD8"/>
    <w:rsid w:val="009C3E7F"/>
    <w:rsid w:val="009C4376"/>
    <w:rsid w:val="009C4572"/>
    <w:rsid w:val="009C65AB"/>
    <w:rsid w:val="009C7209"/>
    <w:rsid w:val="009C7D87"/>
    <w:rsid w:val="009D0568"/>
    <w:rsid w:val="009D09DA"/>
    <w:rsid w:val="009D1988"/>
    <w:rsid w:val="009D1CBA"/>
    <w:rsid w:val="009D1F41"/>
    <w:rsid w:val="009D200B"/>
    <w:rsid w:val="009D225E"/>
    <w:rsid w:val="009D28BE"/>
    <w:rsid w:val="009D323F"/>
    <w:rsid w:val="009D3C0F"/>
    <w:rsid w:val="009D46A4"/>
    <w:rsid w:val="009D4E89"/>
    <w:rsid w:val="009D4FFA"/>
    <w:rsid w:val="009D504B"/>
    <w:rsid w:val="009D64E8"/>
    <w:rsid w:val="009D77F6"/>
    <w:rsid w:val="009D79B8"/>
    <w:rsid w:val="009D7BDE"/>
    <w:rsid w:val="009E00FC"/>
    <w:rsid w:val="009E01C8"/>
    <w:rsid w:val="009E0D82"/>
    <w:rsid w:val="009E0F41"/>
    <w:rsid w:val="009E250C"/>
    <w:rsid w:val="009E2F63"/>
    <w:rsid w:val="009E349E"/>
    <w:rsid w:val="009E353C"/>
    <w:rsid w:val="009E37C4"/>
    <w:rsid w:val="009E3F2D"/>
    <w:rsid w:val="009E4215"/>
    <w:rsid w:val="009E45A1"/>
    <w:rsid w:val="009E5596"/>
    <w:rsid w:val="009E5B0A"/>
    <w:rsid w:val="009E6216"/>
    <w:rsid w:val="009E6839"/>
    <w:rsid w:val="009E69B8"/>
    <w:rsid w:val="009E718E"/>
    <w:rsid w:val="009E73FC"/>
    <w:rsid w:val="009F027D"/>
    <w:rsid w:val="009F0755"/>
    <w:rsid w:val="009F0CC8"/>
    <w:rsid w:val="009F0FEB"/>
    <w:rsid w:val="009F1466"/>
    <w:rsid w:val="009F1753"/>
    <w:rsid w:val="009F17BA"/>
    <w:rsid w:val="009F1BDE"/>
    <w:rsid w:val="009F31C4"/>
    <w:rsid w:val="009F3C4A"/>
    <w:rsid w:val="009F3D4B"/>
    <w:rsid w:val="009F4DE7"/>
    <w:rsid w:val="009F5262"/>
    <w:rsid w:val="009F5714"/>
    <w:rsid w:val="009F62C6"/>
    <w:rsid w:val="009F6502"/>
    <w:rsid w:val="009F65C3"/>
    <w:rsid w:val="009F68B9"/>
    <w:rsid w:val="00A00091"/>
    <w:rsid w:val="00A005CC"/>
    <w:rsid w:val="00A005FA"/>
    <w:rsid w:val="00A01283"/>
    <w:rsid w:val="00A020C0"/>
    <w:rsid w:val="00A03830"/>
    <w:rsid w:val="00A039D1"/>
    <w:rsid w:val="00A03E61"/>
    <w:rsid w:val="00A07935"/>
    <w:rsid w:val="00A10EB3"/>
    <w:rsid w:val="00A10F89"/>
    <w:rsid w:val="00A11ADB"/>
    <w:rsid w:val="00A12113"/>
    <w:rsid w:val="00A12322"/>
    <w:rsid w:val="00A135D6"/>
    <w:rsid w:val="00A1399F"/>
    <w:rsid w:val="00A1431D"/>
    <w:rsid w:val="00A14375"/>
    <w:rsid w:val="00A1487C"/>
    <w:rsid w:val="00A158FC"/>
    <w:rsid w:val="00A15A98"/>
    <w:rsid w:val="00A15AC6"/>
    <w:rsid w:val="00A16CB6"/>
    <w:rsid w:val="00A20941"/>
    <w:rsid w:val="00A20CCE"/>
    <w:rsid w:val="00A20E48"/>
    <w:rsid w:val="00A21B5E"/>
    <w:rsid w:val="00A228F9"/>
    <w:rsid w:val="00A23CAB"/>
    <w:rsid w:val="00A24532"/>
    <w:rsid w:val="00A24B74"/>
    <w:rsid w:val="00A26621"/>
    <w:rsid w:val="00A2702C"/>
    <w:rsid w:val="00A27CFC"/>
    <w:rsid w:val="00A3088B"/>
    <w:rsid w:val="00A30F11"/>
    <w:rsid w:val="00A310D9"/>
    <w:rsid w:val="00A3155E"/>
    <w:rsid w:val="00A320D1"/>
    <w:rsid w:val="00A32709"/>
    <w:rsid w:val="00A32CBF"/>
    <w:rsid w:val="00A3302E"/>
    <w:rsid w:val="00A332E3"/>
    <w:rsid w:val="00A342D0"/>
    <w:rsid w:val="00A347ED"/>
    <w:rsid w:val="00A348CB"/>
    <w:rsid w:val="00A34C62"/>
    <w:rsid w:val="00A352A9"/>
    <w:rsid w:val="00A3576D"/>
    <w:rsid w:val="00A35A29"/>
    <w:rsid w:val="00A35EFA"/>
    <w:rsid w:val="00A36076"/>
    <w:rsid w:val="00A366A8"/>
    <w:rsid w:val="00A36722"/>
    <w:rsid w:val="00A36BFB"/>
    <w:rsid w:val="00A37307"/>
    <w:rsid w:val="00A37799"/>
    <w:rsid w:val="00A37911"/>
    <w:rsid w:val="00A379D8"/>
    <w:rsid w:val="00A410B5"/>
    <w:rsid w:val="00A41A1B"/>
    <w:rsid w:val="00A41DB4"/>
    <w:rsid w:val="00A42425"/>
    <w:rsid w:val="00A42CC8"/>
    <w:rsid w:val="00A42E46"/>
    <w:rsid w:val="00A44068"/>
    <w:rsid w:val="00A44B44"/>
    <w:rsid w:val="00A4585B"/>
    <w:rsid w:val="00A460D5"/>
    <w:rsid w:val="00A46146"/>
    <w:rsid w:val="00A464C6"/>
    <w:rsid w:val="00A465C6"/>
    <w:rsid w:val="00A4784D"/>
    <w:rsid w:val="00A47CC2"/>
    <w:rsid w:val="00A47F09"/>
    <w:rsid w:val="00A5026B"/>
    <w:rsid w:val="00A511D4"/>
    <w:rsid w:val="00A51535"/>
    <w:rsid w:val="00A51F43"/>
    <w:rsid w:val="00A521D8"/>
    <w:rsid w:val="00A5251B"/>
    <w:rsid w:val="00A53348"/>
    <w:rsid w:val="00A53C14"/>
    <w:rsid w:val="00A54D4A"/>
    <w:rsid w:val="00A559C4"/>
    <w:rsid w:val="00A55AA8"/>
    <w:rsid w:val="00A56256"/>
    <w:rsid w:val="00A565A3"/>
    <w:rsid w:val="00A56BC9"/>
    <w:rsid w:val="00A57145"/>
    <w:rsid w:val="00A57152"/>
    <w:rsid w:val="00A57698"/>
    <w:rsid w:val="00A57938"/>
    <w:rsid w:val="00A579B3"/>
    <w:rsid w:val="00A57DB4"/>
    <w:rsid w:val="00A57FB3"/>
    <w:rsid w:val="00A60121"/>
    <w:rsid w:val="00A60241"/>
    <w:rsid w:val="00A60ABF"/>
    <w:rsid w:val="00A61186"/>
    <w:rsid w:val="00A61427"/>
    <w:rsid w:val="00A6159F"/>
    <w:rsid w:val="00A619B3"/>
    <w:rsid w:val="00A620C1"/>
    <w:rsid w:val="00A62F29"/>
    <w:rsid w:val="00A63D62"/>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73"/>
    <w:rsid w:val="00A716E0"/>
    <w:rsid w:val="00A718FD"/>
    <w:rsid w:val="00A71BA7"/>
    <w:rsid w:val="00A7207F"/>
    <w:rsid w:val="00A7234E"/>
    <w:rsid w:val="00A72576"/>
    <w:rsid w:val="00A726EA"/>
    <w:rsid w:val="00A727A0"/>
    <w:rsid w:val="00A731CC"/>
    <w:rsid w:val="00A7346D"/>
    <w:rsid w:val="00A736BF"/>
    <w:rsid w:val="00A73EC5"/>
    <w:rsid w:val="00A741F7"/>
    <w:rsid w:val="00A75408"/>
    <w:rsid w:val="00A75859"/>
    <w:rsid w:val="00A7674E"/>
    <w:rsid w:val="00A76CF6"/>
    <w:rsid w:val="00A76FE3"/>
    <w:rsid w:val="00A81500"/>
    <w:rsid w:val="00A82F8D"/>
    <w:rsid w:val="00A83B4E"/>
    <w:rsid w:val="00A83F00"/>
    <w:rsid w:val="00A841D6"/>
    <w:rsid w:val="00A855E0"/>
    <w:rsid w:val="00A8572F"/>
    <w:rsid w:val="00A8583A"/>
    <w:rsid w:val="00A85CAC"/>
    <w:rsid w:val="00A864DB"/>
    <w:rsid w:val="00A875CD"/>
    <w:rsid w:val="00A87989"/>
    <w:rsid w:val="00A879BA"/>
    <w:rsid w:val="00A9037C"/>
    <w:rsid w:val="00A9048E"/>
    <w:rsid w:val="00A90791"/>
    <w:rsid w:val="00A90C9F"/>
    <w:rsid w:val="00A91E0E"/>
    <w:rsid w:val="00A91FB0"/>
    <w:rsid w:val="00A92689"/>
    <w:rsid w:val="00A92A33"/>
    <w:rsid w:val="00A92A67"/>
    <w:rsid w:val="00A92EF7"/>
    <w:rsid w:val="00A93778"/>
    <w:rsid w:val="00A937DE"/>
    <w:rsid w:val="00A93CD2"/>
    <w:rsid w:val="00A94943"/>
    <w:rsid w:val="00A94C6B"/>
    <w:rsid w:val="00A9508E"/>
    <w:rsid w:val="00A954B3"/>
    <w:rsid w:val="00A95C3C"/>
    <w:rsid w:val="00A96285"/>
    <w:rsid w:val="00A96353"/>
    <w:rsid w:val="00A97A81"/>
    <w:rsid w:val="00A97DAB"/>
    <w:rsid w:val="00AA0043"/>
    <w:rsid w:val="00AA0390"/>
    <w:rsid w:val="00AA078D"/>
    <w:rsid w:val="00AA0811"/>
    <w:rsid w:val="00AA14A9"/>
    <w:rsid w:val="00AA15CC"/>
    <w:rsid w:val="00AA1652"/>
    <w:rsid w:val="00AA232B"/>
    <w:rsid w:val="00AA25C3"/>
    <w:rsid w:val="00AA347F"/>
    <w:rsid w:val="00AA351F"/>
    <w:rsid w:val="00AA42EB"/>
    <w:rsid w:val="00AA45E5"/>
    <w:rsid w:val="00AA4822"/>
    <w:rsid w:val="00AA50DB"/>
    <w:rsid w:val="00AA55AA"/>
    <w:rsid w:val="00AA5AA4"/>
    <w:rsid w:val="00AA6316"/>
    <w:rsid w:val="00AA72E1"/>
    <w:rsid w:val="00AA7AE1"/>
    <w:rsid w:val="00AA7B13"/>
    <w:rsid w:val="00AB023E"/>
    <w:rsid w:val="00AB056C"/>
    <w:rsid w:val="00AB12C2"/>
    <w:rsid w:val="00AB1A0A"/>
    <w:rsid w:val="00AB20D2"/>
    <w:rsid w:val="00AB21A4"/>
    <w:rsid w:val="00AB2706"/>
    <w:rsid w:val="00AB3314"/>
    <w:rsid w:val="00AB3591"/>
    <w:rsid w:val="00AB3639"/>
    <w:rsid w:val="00AB3D67"/>
    <w:rsid w:val="00AB42BA"/>
    <w:rsid w:val="00AB47C1"/>
    <w:rsid w:val="00AB4CCF"/>
    <w:rsid w:val="00AB5218"/>
    <w:rsid w:val="00AB59C2"/>
    <w:rsid w:val="00AB5BB9"/>
    <w:rsid w:val="00AB5C0B"/>
    <w:rsid w:val="00AB7774"/>
    <w:rsid w:val="00AB7974"/>
    <w:rsid w:val="00AC0C95"/>
    <w:rsid w:val="00AC248D"/>
    <w:rsid w:val="00AC2628"/>
    <w:rsid w:val="00AC2B8D"/>
    <w:rsid w:val="00AC2D69"/>
    <w:rsid w:val="00AC4240"/>
    <w:rsid w:val="00AC4483"/>
    <w:rsid w:val="00AC5219"/>
    <w:rsid w:val="00AC5229"/>
    <w:rsid w:val="00AC7A6D"/>
    <w:rsid w:val="00AC7CAA"/>
    <w:rsid w:val="00AC7DA1"/>
    <w:rsid w:val="00AD02F0"/>
    <w:rsid w:val="00AD0497"/>
    <w:rsid w:val="00AD1AAC"/>
    <w:rsid w:val="00AD1E96"/>
    <w:rsid w:val="00AD2095"/>
    <w:rsid w:val="00AD24A7"/>
    <w:rsid w:val="00AD26F4"/>
    <w:rsid w:val="00AD3F8E"/>
    <w:rsid w:val="00AD5348"/>
    <w:rsid w:val="00AD598D"/>
    <w:rsid w:val="00AD6560"/>
    <w:rsid w:val="00AD6577"/>
    <w:rsid w:val="00AD68FD"/>
    <w:rsid w:val="00AD6ADB"/>
    <w:rsid w:val="00AD7D4C"/>
    <w:rsid w:val="00AE0286"/>
    <w:rsid w:val="00AE1559"/>
    <w:rsid w:val="00AE1820"/>
    <w:rsid w:val="00AE193C"/>
    <w:rsid w:val="00AE199C"/>
    <w:rsid w:val="00AE1A9C"/>
    <w:rsid w:val="00AE1F26"/>
    <w:rsid w:val="00AE2318"/>
    <w:rsid w:val="00AE29C1"/>
    <w:rsid w:val="00AE3728"/>
    <w:rsid w:val="00AE380A"/>
    <w:rsid w:val="00AE3B88"/>
    <w:rsid w:val="00AE3D88"/>
    <w:rsid w:val="00AE451D"/>
    <w:rsid w:val="00AE48FB"/>
    <w:rsid w:val="00AE57C9"/>
    <w:rsid w:val="00AE64EE"/>
    <w:rsid w:val="00AE6A26"/>
    <w:rsid w:val="00AE7723"/>
    <w:rsid w:val="00AF01AF"/>
    <w:rsid w:val="00AF04CC"/>
    <w:rsid w:val="00AF05DC"/>
    <w:rsid w:val="00AF10A9"/>
    <w:rsid w:val="00AF1BB3"/>
    <w:rsid w:val="00AF1EE4"/>
    <w:rsid w:val="00AF21A2"/>
    <w:rsid w:val="00AF24C3"/>
    <w:rsid w:val="00AF2707"/>
    <w:rsid w:val="00AF27BD"/>
    <w:rsid w:val="00AF3125"/>
    <w:rsid w:val="00AF322D"/>
    <w:rsid w:val="00AF3C71"/>
    <w:rsid w:val="00AF4197"/>
    <w:rsid w:val="00AF42E3"/>
    <w:rsid w:val="00AF539E"/>
    <w:rsid w:val="00AF56BE"/>
    <w:rsid w:val="00AF59A6"/>
    <w:rsid w:val="00AF69E2"/>
    <w:rsid w:val="00AF6B31"/>
    <w:rsid w:val="00AF76DF"/>
    <w:rsid w:val="00AF76E5"/>
    <w:rsid w:val="00AF7F5D"/>
    <w:rsid w:val="00B001AF"/>
    <w:rsid w:val="00B008F1"/>
    <w:rsid w:val="00B00DC2"/>
    <w:rsid w:val="00B0154C"/>
    <w:rsid w:val="00B01599"/>
    <w:rsid w:val="00B0229B"/>
    <w:rsid w:val="00B024A2"/>
    <w:rsid w:val="00B04388"/>
    <w:rsid w:val="00B043CA"/>
    <w:rsid w:val="00B05FB8"/>
    <w:rsid w:val="00B067AD"/>
    <w:rsid w:val="00B07025"/>
    <w:rsid w:val="00B101BA"/>
    <w:rsid w:val="00B1038E"/>
    <w:rsid w:val="00B10C14"/>
    <w:rsid w:val="00B11274"/>
    <w:rsid w:val="00B1149F"/>
    <w:rsid w:val="00B11AFE"/>
    <w:rsid w:val="00B11B94"/>
    <w:rsid w:val="00B11CC8"/>
    <w:rsid w:val="00B12D07"/>
    <w:rsid w:val="00B130C6"/>
    <w:rsid w:val="00B13405"/>
    <w:rsid w:val="00B13B50"/>
    <w:rsid w:val="00B13F30"/>
    <w:rsid w:val="00B14946"/>
    <w:rsid w:val="00B14D6E"/>
    <w:rsid w:val="00B14FE8"/>
    <w:rsid w:val="00B15521"/>
    <w:rsid w:val="00B1558C"/>
    <w:rsid w:val="00B15EF1"/>
    <w:rsid w:val="00B160DD"/>
    <w:rsid w:val="00B1635B"/>
    <w:rsid w:val="00B163F3"/>
    <w:rsid w:val="00B16E64"/>
    <w:rsid w:val="00B202F6"/>
    <w:rsid w:val="00B2070A"/>
    <w:rsid w:val="00B210F5"/>
    <w:rsid w:val="00B21282"/>
    <w:rsid w:val="00B21988"/>
    <w:rsid w:val="00B21A83"/>
    <w:rsid w:val="00B21DCC"/>
    <w:rsid w:val="00B220B2"/>
    <w:rsid w:val="00B22400"/>
    <w:rsid w:val="00B22699"/>
    <w:rsid w:val="00B22FC5"/>
    <w:rsid w:val="00B239B9"/>
    <w:rsid w:val="00B243A0"/>
    <w:rsid w:val="00B24760"/>
    <w:rsid w:val="00B24B1B"/>
    <w:rsid w:val="00B25CE4"/>
    <w:rsid w:val="00B26257"/>
    <w:rsid w:val="00B265F9"/>
    <w:rsid w:val="00B26924"/>
    <w:rsid w:val="00B26AD6"/>
    <w:rsid w:val="00B26C26"/>
    <w:rsid w:val="00B26D6C"/>
    <w:rsid w:val="00B2708F"/>
    <w:rsid w:val="00B271B2"/>
    <w:rsid w:val="00B27583"/>
    <w:rsid w:val="00B27937"/>
    <w:rsid w:val="00B279B7"/>
    <w:rsid w:val="00B27D06"/>
    <w:rsid w:val="00B304E9"/>
    <w:rsid w:val="00B309F5"/>
    <w:rsid w:val="00B31361"/>
    <w:rsid w:val="00B31545"/>
    <w:rsid w:val="00B31B0A"/>
    <w:rsid w:val="00B3202B"/>
    <w:rsid w:val="00B327DE"/>
    <w:rsid w:val="00B32BB0"/>
    <w:rsid w:val="00B33247"/>
    <w:rsid w:val="00B33FCC"/>
    <w:rsid w:val="00B34262"/>
    <w:rsid w:val="00B347E4"/>
    <w:rsid w:val="00B34BAF"/>
    <w:rsid w:val="00B3572C"/>
    <w:rsid w:val="00B35741"/>
    <w:rsid w:val="00B35BED"/>
    <w:rsid w:val="00B35D79"/>
    <w:rsid w:val="00B35FBD"/>
    <w:rsid w:val="00B36238"/>
    <w:rsid w:val="00B3655A"/>
    <w:rsid w:val="00B36732"/>
    <w:rsid w:val="00B3674D"/>
    <w:rsid w:val="00B369BE"/>
    <w:rsid w:val="00B3705C"/>
    <w:rsid w:val="00B3724B"/>
    <w:rsid w:val="00B37AC4"/>
    <w:rsid w:val="00B401AB"/>
    <w:rsid w:val="00B40925"/>
    <w:rsid w:val="00B41473"/>
    <w:rsid w:val="00B42367"/>
    <w:rsid w:val="00B42509"/>
    <w:rsid w:val="00B43120"/>
    <w:rsid w:val="00B43AE9"/>
    <w:rsid w:val="00B43C9A"/>
    <w:rsid w:val="00B43E24"/>
    <w:rsid w:val="00B43E46"/>
    <w:rsid w:val="00B44367"/>
    <w:rsid w:val="00B464BB"/>
    <w:rsid w:val="00B46636"/>
    <w:rsid w:val="00B466E9"/>
    <w:rsid w:val="00B4743C"/>
    <w:rsid w:val="00B47A75"/>
    <w:rsid w:val="00B5050E"/>
    <w:rsid w:val="00B50ABF"/>
    <w:rsid w:val="00B50C1A"/>
    <w:rsid w:val="00B51095"/>
    <w:rsid w:val="00B512E0"/>
    <w:rsid w:val="00B51960"/>
    <w:rsid w:val="00B52660"/>
    <w:rsid w:val="00B545A9"/>
    <w:rsid w:val="00B54690"/>
    <w:rsid w:val="00B548DC"/>
    <w:rsid w:val="00B55098"/>
    <w:rsid w:val="00B55BFA"/>
    <w:rsid w:val="00B56274"/>
    <w:rsid w:val="00B56421"/>
    <w:rsid w:val="00B56BEF"/>
    <w:rsid w:val="00B570EB"/>
    <w:rsid w:val="00B57430"/>
    <w:rsid w:val="00B577BC"/>
    <w:rsid w:val="00B603B5"/>
    <w:rsid w:val="00B60FF6"/>
    <w:rsid w:val="00B6183C"/>
    <w:rsid w:val="00B61A0B"/>
    <w:rsid w:val="00B62417"/>
    <w:rsid w:val="00B629DA"/>
    <w:rsid w:val="00B62A00"/>
    <w:rsid w:val="00B654C4"/>
    <w:rsid w:val="00B6581C"/>
    <w:rsid w:val="00B659E2"/>
    <w:rsid w:val="00B65F4D"/>
    <w:rsid w:val="00B65F75"/>
    <w:rsid w:val="00B6636E"/>
    <w:rsid w:val="00B66AF5"/>
    <w:rsid w:val="00B70B85"/>
    <w:rsid w:val="00B70FA0"/>
    <w:rsid w:val="00B714B6"/>
    <w:rsid w:val="00B72CA7"/>
    <w:rsid w:val="00B737A8"/>
    <w:rsid w:val="00B73B1F"/>
    <w:rsid w:val="00B73DC4"/>
    <w:rsid w:val="00B73FAF"/>
    <w:rsid w:val="00B74A69"/>
    <w:rsid w:val="00B750F5"/>
    <w:rsid w:val="00B75294"/>
    <w:rsid w:val="00B76793"/>
    <w:rsid w:val="00B76ED8"/>
    <w:rsid w:val="00B77FF5"/>
    <w:rsid w:val="00B804F1"/>
    <w:rsid w:val="00B81B38"/>
    <w:rsid w:val="00B837C8"/>
    <w:rsid w:val="00B8407F"/>
    <w:rsid w:val="00B84401"/>
    <w:rsid w:val="00B847ED"/>
    <w:rsid w:val="00B85514"/>
    <w:rsid w:val="00B8592A"/>
    <w:rsid w:val="00B85CBC"/>
    <w:rsid w:val="00B862D8"/>
    <w:rsid w:val="00B873D5"/>
    <w:rsid w:val="00B87AED"/>
    <w:rsid w:val="00B9038C"/>
    <w:rsid w:val="00B913E2"/>
    <w:rsid w:val="00B915E1"/>
    <w:rsid w:val="00B92271"/>
    <w:rsid w:val="00B933AD"/>
    <w:rsid w:val="00B93C3A"/>
    <w:rsid w:val="00B94087"/>
    <w:rsid w:val="00B941C4"/>
    <w:rsid w:val="00B947C1"/>
    <w:rsid w:val="00B94F97"/>
    <w:rsid w:val="00B95249"/>
    <w:rsid w:val="00B961BB"/>
    <w:rsid w:val="00B961E3"/>
    <w:rsid w:val="00B97265"/>
    <w:rsid w:val="00B97636"/>
    <w:rsid w:val="00B979A2"/>
    <w:rsid w:val="00B97E6B"/>
    <w:rsid w:val="00BA0DA9"/>
    <w:rsid w:val="00BA103E"/>
    <w:rsid w:val="00BA17FF"/>
    <w:rsid w:val="00BA1C9F"/>
    <w:rsid w:val="00BA21BB"/>
    <w:rsid w:val="00BA225D"/>
    <w:rsid w:val="00BA2794"/>
    <w:rsid w:val="00BA27B4"/>
    <w:rsid w:val="00BA2B58"/>
    <w:rsid w:val="00BA2E7A"/>
    <w:rsid w:val="00BA37D9"/>
    <w:rsid w:val="00BA384E"/>
    <w:rsid w:val="00BA3EB7"/>
    <w:rsid w:val="00BA45AE"/>
    <w:rsid w:val="00BA4625"/>
    <w:rsid w:val="00BA4FA7"/>
    <w:rsid w:val="00BA6003"/>
    <w:rsid w:val="00BA600D"/>
    <w:rsid w:val="00BA63E8"/>
    <w:rsid w:val="00BA66FE"/>
    <w:rsid w:val="00BA765F"/>
    <w:rsid w:val="00BA7B28"/>
    <w:rsid w:val="00BB066E"/>
    <w:rsid w:val="00BB0E8C"/>
    <w:rsid w:val="00BB28E9"/>
    <w:rsid w:val="00BB2D13"/>
    <w:rsid w:val="00BB44D5"/>
    <w:rsid w:val="00BB453F"/>
    <w:rsid w:val="00BB5329"/>
    <w:rsid w:val="00BB54BA"/>
    <w:rsid w:val="00BB5C74"/>
    <w:rsid w:val="00BB5FF3"/>
    <w:rsid w:val="00BB648D"/>
    <w:rsid w:val="00BB687C"/>
    <w:rsid w:val="00BB693F"/>
    <w:rsid w:val="00BB7766"/>
    <w:rsid w:val="00BC01DE"/>
    <w:rsid w:val="00BC0E37"/>
    <w:rsid w:val="00BC112F"/>
    <w:rsid w:val="00BC158E"/>
    <w:rsid w:val="00BC1ED1"/>
    <w:rsid w:val="00BC1FD8"/>
    <w:rsid w:val="00BC1FF4"/>
    <w:rsid w:val="00BC216C"/>
    <w:rsid w:val="00BC2175"/>
    <w:rsid w:val="00BC21B4"/>
    <w:rsid w:val="00BC2407"/>
    <w:rsid w:val="00BC36DA"/>
    <w:rsid w:val="00BC370F"/>
    <w:rsid w:val="00BC44C4"/>
    <w:rsid w:val="00BC4A8D"/>
    <w:rsid w:val="00BC533E"/>
    <w:rsid w:val="00BC594D"/>
    <w:rsid w:val="00BC5C80"/>
    <w:rsid w:val="00BC61AF"/>
    <w:rsid w:val="00BC63AE"/>
    <w:rsid w:val="00BC665F"/>
    <w:rsid w:val="00BC666B"/>
    <w:rsid w:val="00BC7285"/>
    <w:rsid w:val="00BD00EB"/>
    <w:rsid w:val="00BD1BFF"/>
    <w:rsid w:val="00BD1E36"/>
    <w:rsid w:val="00BD1FAF"/>
    <w:rsid w:val="00BD26F5"/>
    <w:rsid w:val="00BD3016"/>
    <w:rsid w:val="00BD31C9"/>
    <w:rsid w:val="00BD3891"/>
    <w:rsid w:val="00BD4088"/>
    <w:rsid w:val="00BD423B"/>
    <w:rsid w:val="00BD4BF3"/>
    <w:rsid w:val="00BD5B23"/>
    <w:rsid w:val="00BD6744"/>
    <w:rsid w:val="00BD6DD3"/>
    <w:rsid w:val="00BD7984"/>
    <w:rsid w:val="00BD7F7F"/>
    <w:rsid w:val="00BE01A3"/>
    <w:rsid w:val="00BE0220"/>
    <w:rsid w:val="00BE1485"/>
    <w:rsid w:val="00BE1B77"/>
    <w:rsid w:val="00BE1C1A"/>
    <w:rsid w:val="00BE20DF"/>
    <w:rsid w:val="00BE2D73"/>
    <w:rsid w:val="00BE3029"/>
    <w:rsid w:val="00BE3107"/>
    <w:rsid w:val="00BE32BD"/>
    <w:rsid w:val="00BE39DE"/>
    <w:rsid w:val="00BE41A0"/>
    <w:rsid w:val="00BE5118"/>
    <w:rsid w:val="00BE5B7A"/>
    <w:rsid w:val="00BE5E2A"/>
    <w:rsid w:val="00BE67D6"/>
    <w:rsid w:val="00BE6FA8"/>
    <w:rsid w:val="00BE7772"/>
    <w:rsid w:val="00BE7BAD"/>
    <w:rsid w:val="00BF072A"/>
    <w:rsid w:val="00BF146A"/>
    <w:rsid w:val="00BF1837"/>
    <w:rsid w:val="00BF264B"/>
    <w:rsid w:val="00BF2B1A"/>
    <w:rsid w:val="00BF30A1"/>
    <w:rsid w:val="00BF31B8"/>
    <w:rsid w:val="00BF3842"/>
    <w:rsid w:val="00BF3DFC"/>
    <w:rsid w:val="00BF482E"/>
    <w:rsid w:val="00BF6046"/>
    <w:rsid w:val="00BF6647"/>
    <w:rsid w:val="00BF72C5"/>
    <w:rsid w:val="00BF74F5"/>
    <w:rsid w:val="00BF7AEA"/>
    <w:rsid w:val="00BF7BF7"/>
    <w:rsid w:val="00BF7F98"/>
    <w:rsid w:val="00C00B3B"/>
    <w:rsid w:val="00C0106E"/>
    <w:rsid w:val="00C015F1"/>
    <w:rsid w:val="00C0192F"/>
    <w:rsid w:val="00C02A49"/>
    <w:rsid w:val="00C02B52"/>
    <w:rsid w:val="00C03056"/>
    <w:rsid w:val="00C035E2"/>
    <w:rsid w:val="00C03D1C"/>
    <w:rsid w:val="00C03D41"/>
    <w:rsid w:val="00C04816"/>
    <w:rsid w:val="00C059C1"/>
    <w:rsid w:val="00C06D8A"/>
    <w:rsid w:val="00C07333"/>
    <w:rsid w:val="00C1066C"/>
    <w:rsid w:val="00C10D4E"/>
    <w:rsid w:val="00C110C4"/>
    <w:rsid w:val="00C11D04"/>
    <w:rsid w:val="00C11E84"/>
    <w:rsid w:val="00C11FDD"/>
    <w:rsid w:val="00C12062"/>
    <w:rsid w:val="00C127E9"/>
    <w:rsid w:val="00C1349C"/>
    <w:rsid w:val="00C136EB"/>
    <w:rsid w:val="00C1389D"/>
    <w:rsid w:val="00C139C6"/>
    <w:rsid w:val="00C13EBD"/>
    <w:rsid w:val="00C151A5"/>
    <w:rsid w:val="00C15231"/>
    <w:rsid w:val="00C15471"/>
    <w:rsid w:val="00C159D2"/>
    <w:rsid w:val="00C15C32"/>
    <w:rsid w:val="00C16E18"/>
    <w:rsid w:val="00C16FCC"/>
    <w:rsid w:val="00C1769B"/>
    <w:rsid w:val="00C1783A"/>
    <w:rsid w:val="00C20532"/>
    <w:rsid w:val="00C208D4"/>
    <w:rsid w:val="00C20A34"/>
    <w:rsid w:val="00C20D1C"/>
    <w:rsid w:val="00C210B4"/>
    <w:rsid w:val="00C21DE0"/>
    <w:rsid w:val="00C2238D"/>
    <w:rsid w:val="00C22677"/>
    <w:rsid w:val="00C22E3A"/>
    <w:rsid w:val="00C23A36"/>
    <w:rsid w:val="00C2514F"/>
    <w:rsid w:val="00C2589E"/>
    <w:rsid w:val="00C25CA7"/>
    <w:rsid w:val="00C25E79"/>
    <w:rsid w:val="00C25EBE"/>
    <w:rsid w:val="00C26C75"/>
    <w:rsid w:val="00C26E3E"/>
    <w:rsid w:val="00C2702E"/>
    <w:rsid w:val="00C272C7"/>
    <w:rsid w:val="00C2731C"/>
    <w:rsid w:val="00C300FB"/>
    <w:rsid w:val="00C30528"/>
    <w:rsid w:val="00C30A5C"/>
    <w:rsid w:val="00C31091"/>
    <w:rsid w:val="00C31B3A"/>
    <w:rsid w:val="00C31FB8"/>
    <w:rsid w:val="00C32078"/>
    <w:rsid w:val="00C3210C"/>
    <w:rsid w:val="00C3288A"/>
    <w:rsid w:val="00C33021"/>
    <w:rsid w:val="00C33786"/>
    <w:rsid w:val="00C338DD"/>
    <w:rsid w:val="00C362CB"/>
    <w:rsid w:val="00C3637B"/>
    <w:rsid w:val="00C368A3"/>
    <w:rsid w:val="00C37176"/>
    <w:rsid w:val="00C40803"/>
    <w:rsid w:val="00C40AFF"/>
    <w:rsid w:val="00C41743"/>
    <w:rsid w:val="00C4182C"/>
    <w:rsid w:val="00C41BB7"/>
    <w:rsid w:val="00C422A0"/>
    <w:rsid w:val="00C42513"/>
    <w:rsid w:val="00C43A94"/>
    <w:rsid w:val="00C43C3A"/>
    <w:rsid w:val="00C43C43"/>
    <w:rsid w:val="00C43CFD"/>
    <w:rsid w:val="00C442F2"/>
    <w:rsid w:val="00C44753"/>
    <w:rsid w:val="00C447FC"/>
    <w:rsid w:val="00C45647"/>
    <w:rsid w:val="00C45832"/>
    <w:rsid w:val="00C469BF"/>
    <w:rsid w:val="00C46A2B"/>
    <w:rsid w:val="00C46A3E"/>
    <w:rsid w:val="00C47102"/>
    <w:rsid w:val="00C50091"/>
    <w:rsid w:val="00C508E2"/>
    <w:rsid w:val="00C50D5B"/>
    <w:rsid w:val="00C5148A"/>
    <w:rsid w:val="00C51758"/>
    <w:rsid w:val="00C518AE"/>
    <w:rsid w:val="00C51980"/>
    <w:rsid w:val="00C51B2A"/>
    <w:rsid w:val="00C522AE"/>
    <w:rsid w:val="00C5253C"/>
    <w:rsid w:val="00C53711"/>
    <w:rsid w:val="00C53A28"/>
    <w:rsid w:val="00C53C24"/>
    <w:rsid w:val="00C5428C"/>
    <w:rsid w:val="00C5490D"/>
    <w:rsid w:val="00C553DC"/>
    <w:rsid w:val="00C55AB9"/>
    <w:rsid w:val="00C55B47"/>
    <w:rsid w:val="00C56549"/>
    <w:rsid w:val="00C568DB"/>
    <w:rsid w:val="00C56B61"/>
    <w:rsid w:val="00C56EA3"/>
    <w:rsid w:val="00C57DEB"/>
    <w:rsid w:val="00C606EF"/>
    <w:rsid w:val="00C60D92"/>
    <w:rsid w:val="00C615A9"/>
    <w:rsid w:val="00C622A7"/>
    <w:rsid w:val="00C62632"/>
    <w:rsid w:val="00C626CC"/>
    <w:rsid w:val="00C62743"/>
    <w:rsid w:val="00C62C57"/>
    <w:rsid w:val="00C631BB"/>
    <w:rsid w:val="00C632BB"/>
    <w:rsid w:val="00C63B05"/>
    <w:rsid w:val="00C64579"/>
    <w:rsid w:val="00C649BF"/>
    <w:rsid w:val="00C64EC2"/>
    <w:rsid w:val="00C6568C"/>
    <w:rsid w:val="00C66763"/>
    <w:rsid w:val="00C66CE2"/>
    <w:rsid w:val="00C66F45"/>
    <w:rsid w:val="00C6768E"/>
    <w:rsid w:val="00C6799D"/>
    <w:rsid w:val="00C71274"/>
    <w:rsid w:val="00C71579"/>
    <w:rsid w:val="00C716F4"/>
    <w:rsid w:val="00C71738"/>
    <w:rsid w:val="00C71BCB"/>
    <w:rsid w:val="00C74810"/>
    <w:rsid w:val="00C75ADB"/>
    <w:rsid w:val="00C75F72"/>
    <w:rsid w:val="00C76DCA"/>
    <w:rsid w:val="00C770F4"/>
    <w:rsid w:val="00C775F2"/>
    <w:rsid w:val="00C77AF2"/>
    <w:rsid w:val="00C80125"/>
    <w:rsid w:val="00C8041A"/>
    <w:rsid w:val="00C8046B"/>
    <w:rsid w:val="00C8069C"/>
    <w:rsid w:val="00C80C8B"/>
    <w:rsid w:val="00C80CB9"/>
    <w:rsid w:val="00C81E1B"/>
    <w:rsid w:val="00C83261"/>
    <w:rsid w:val="00C845F0"/>
    <w:rsid w:val="00C84E03"/>
    <w:rsid w:val="00C855EA"/>
    <w:rsid w:val="00C86096"/>
    <w:rsid w:val="00C86888"/>
    <w:rsid w:val="00C86CDA"/>
    <w:rsid w:val="00C86DFE"/>
    <w:rsid w:val="00C876D4"/>
    <w:rsid w:val="00C902F9"/>
    <w:rsid w:val="00C90E9B"/>
    <w:rsid w:val="00C910D3"/>
    <w:rsid w:val="00C91740"/>
    <w:rsid w:val="00C9211E"/>
    <w:rsid w:val="00C92BC3"/>
    <w:rsid w:val="00C92E77"/>
    <w:rsid w:val="00C936EB"/>
    <w:rsid w:val="00C93D5A"/>
    <w:rsid w:val="00C95C9A"/>
    <w:rsid w:val="00C964DB"/>
    <w:rsid w:val="00C96B20"/>
    <w:rsid w:val="00C9725B"/>
    <w:rsid w:val="00C97AD1"/>
    <w:rsid w:val="00C97F4E"/>
    <w:rsid w:val="00CA06BE"/>
    <w:rsid w:val="00CA09C4"/>
    <w:rsid w:val="00CA0CE8"/>
    <w:rsid w:val="00CA240F"/>
    <w:rsid w:val="00CA26C0"/>
    <w:rsid w:val="00CA417C"/>
    <w:rsid w:val="00CA585E"/>
    <w:rsid w:val="00CA5899"/>
    <w:rsid w:val="00CA5D86"/>
    <w:rsid w:val="00CA63E4"/>
    <w:rsid w:val="00CA6B6E"/>
    <w:rsid w:val="00CA7489"/>
    <w:rsid w:val="00CA75CE"/>
    <w:rsid w:val="00CA7A63"/>
    <w:rsid w:val="00CB0217"/>
    <w:rsid w:val="00CB05F7"/>
    <w:rsid w:val="00CB0AD6"/>
    <w:rsid w:val="00CB11E3"/>
    <w:rsid w:val="00CB1852"/>
    <w:rsid w:val="00CB2900"/>
    <w:rsid w:val="00CB3BF6"/>
    <w:rsid w:val="00CB42E2"/>
    <w:rsid w:val="00CB4BEA"/>
    <w:rsid w:val="00CB5475"/>
    <w:rsid w:val="00CB5D66"/>
    <w:rsid w:val="00CB618D"/>
    <w:rsid w:val="00CB61F2"/>
    <w:rsid w:val="00CB7637"/>
    <w:rsid w:val="00CB769F"/>
    <w:rsid w:val="00CC0E7B"/>
    <w:rsid w:val="00CC1882"/>
    <w:rsid w:val="00CC1F37"/>
    <w:rsid w:val="00CC3395"/>
    <w:rsid w:val="00CC34C0"/>
    <w:rsid w:val="00CC34C9"/>
    <w:rsid w:val="00CC36CC"/>
    <w:rsid w:val="00CC36D1"/>
    <w:rsid w:val="00CC3C8A"/>
    <w:rsid w:val="00CC3DF9"/>
    <w:rsid w:val="00CC41D8"/>
    <w:rsid w:val="00CC42B8"/>
    <w:rsid w:val="00CC4EE4"/>
    <w:rsid w:val="00CC5CB7"/>
    <w:rsid w:val="00CC6128"/>
    <w:rsid w:val="00CC69DD"/>
    <w:rsid w:val="00CC7A59"/>
    <w:rsid w:val="00CD0A67"/>
    <w:rsid w:val="00CD0AE9"/>
    <w:rsid w:val="00CD0D4B"/>
    <w:rsid w:val="00CD0EDB"/>
    <w:rsid w:val="00CD14F2"/>
    <w:rsid w:val="00CD1703"/>
    <w:rsid w:val="00CD182C"/>
    <w:rsid w:val="00CD2CF3"/>
    <w:rsid w:val="00CD309D"/>
    <w:rsid w:val="00CD359A"/>
    <w:rsid w:val="00CD375D"/>
    <w:rsid w:val="00CD436D"/>
    <w:rsid w:val="00CD48B6"/>
    <w:rsid w:val="00CD4A4E"/>
    <w:rsid w:val="00CD4D2C"/>
    <w:rsid w:val="00CD5FFF"/>
    <w:rsid w:val="00CD6CAC"/>
    <w:rsid w:val="00CD72FA"/>
    <w:rsid w:val="00CE1739"/>
    <w:rsid w:val="00CE1D89"/>
    <w:rsid w:val="00CE2B4A"/>
    <w:rsid w:val="00CE2D38"/>
    <w:rsid w:val="00CE311F"/>
    <w:rsid w:val="00CE4019"/>
    <w:rsid w:val="00CE409E"/>
    <w:rsid w:val="00CE4D07"/>
    <w:rsid w:val="00CE54A7"/>
    <w:rsid w:val="00CE590F"/>
    <w:rsid w:val="00CE5F9D"/>
    <w:rsid w:val="00CE6C4D"/>
    <w:rsid w:val="00CE6D1E"/>
    <w:rsid w:val="00CE6DC8"/>
    <w:rsid w:val="00CE7035"/>
    <w:rsid w:val="00CF05C0"/>
    <w:rsid w:val="00CF0E7F"/>
    <w:rsid w:val="00CF1301"/>
    <w:rsid w:val="00CF1B9C"/>
    <w:rsid w:val="00CF1C7A"/>
    <w:rsid w:val="00CF2524"/>
    <w:rsid w:val="00CF34EC"/>
    <w:rsid w:val="00CF3E42"/>
    <w:rsid w:val="00CF54E9"/>
    <w:rsid w:val="00CF6087"/>
    <w:rsid w:val="00CF66D7"/>
    <w:rsid w:val="00CF7699"/>
    <w:rsid w:val="00D00190"/>
    <w:rsid w:val="00D00228"/>
    <w:rsid w:val="00D01836"/>
    <w:rsid w:val="00D01FEA"/>
    <w:rsid w:val="00D0200E"/>
    <w:rsid w:val="00D02366"/>
    <w:rsid w:val="00D028DB"/>
    <w:rsid w:val="00D0359F"/>
    <w:rsid w:val="00D039E0"/>
    <w:rsid w:val="00D042F4"/>
    <w:rsid w:val="00D04CF5"/>
    <w:rsid w:val="00D04E6F"/>
    <w:rsid w:val="00D05DFD"/>
    <w:rsid w:val="00D066F4"/>
    <w:rsid w:val="00D0677C"/>
    <w:rsid w:val="00D073A3"/>
    <w:rsid w:val="00D07C01"/>
    <w:rsid w:val="00D108F6"/>
    <w:rsid w:val="00D109B0"/>
    <w:rsid w:val="00D10F7C"/>
    <w:rsid w:val="00D11164"/>
    <w:rsid w:val="00D11BC7"/>
    <w:rsid w:val="00D1223A"/>
    <w:rsid w:val="00D127D2"/>
    <w:rsid w:val="00D128B7"/>
    <w:rsid w:val="00D12B66"/>
    <w:rsid w:val="00D12D66"/>
    <w:rsid w:val="00D13AF1"/>
    <w:rsid w:val="00D13F00"/>
    <w:rsid w:val="00D15B93"/>
    <w:rsid w:val="00D1616D"/>
    <w:rsid w:val="00D16610"/>
    <w:rsid w:val="00D171D8"/>
    <w:rsid w:val="00D17FC9"/>
    <w:rsid w:val="00D208DB"/>
    <w:rsid w:val="00D20C14"/>
    <w:rsid w:val="00D21E1B"/>
    <w:rsid w:val="00D22E7C"/>
    <w:rsid w:val="00D237EA"/>
    <w:rsid w:val="00D238DB"/>
    <w:rsid w:val="00D23D2B"/>
    <w:rsid w:val="00D240C7"/>
    <w:rsid w:val="00D24814"/>
    <w:rsid w:val="00D24D48"/>
    <w:rsid w:val="00D25601"/>
    <w:rsid w:val="00D25ADE"/>
    <w:rsid w:val="00D26656"/>
    <w:rsid w:val="00D2665A"/>
    <w:rsid w:val="00D266A9"/>
    <w:rsid w:val="00D26E76"/>
    <w:rsid w:val="00D27259"/>
    <w:rsid w:val="00D306C6"/>
    <w:rsid w:val="00D31D42"/>
    <w:rsid w:val="00D332E7"/>
    <w:rsid w:val="00D33415"/>
    <w:rsid w:val="00D33505"/>
    <w:rsid w:val="00D33916"/>
    <w:rsid w:val="00D3435D"/>
    <w:rsid w:val="00D34B2B"/>
    <w:rsid w:val="00D34C4B"/>
    <w:rsid w:val="00D34D38"/>
    <w:rsid w:val="00D34D50"/>
    <w:rsid w:val="00D3534D"/>
    <w:rsid w:val="00D35602"/>
    <w:rsid w:val="00D36485"/>
    <w:rsid w:val="00D365DA"/>
    <w:rsid w:val="00D368BB"/>
    <w:rsid w:val="00D3695E"/>
    <w:rsid w:val="00D378D6"/>
    <w:rsid w:val="00D40463"/>
    <w:rsid w:val="00D41884"/>
    <w:rsid w:val="00D420A2"/>
    <w:rsid w:val="00D42994"/>
    <w:rsid w:val="00D42DE4"/>
    <w:rsid w:val="00D43E61"/>
    <w:rsid w:val="00D43F27"/>
    <w:rsid w:val="00D43F7C"/>
    <w:rsid w:val="00D44537"/>
    <w:rsid w:val="00D44FD6"/>
    <w:rsid w:val="00D45058"/>
    <w:rsid w:val="00D452C6"/>
    <w:rsid w:val="00D45DFD"/>
    <w:rsid w:val="00D463D7"/>
    <w:rsid w:val="00D4645B"/>
    <w:rsid w:val="00D46F86"/>
    <w:rsid w:val="00D47016"/>
    <w:rsid w:val="00D471A3"/>
    <w:rsid w:val="00D471B1"/>
    <w:rsid w:val="00D47844"/>
    <w:rsid w:val="00D47CED"/>
    <w:rsid w:val="00D50BC4"/>
    <w:rsid w:val="00D50D2E"/>
    <w:rsid w:val="00D515A2"/>
    <w:rsid w:val="00D5180C"/>
    <w:rsid w:val="00D5203C"/>
    <w:rsid w:val="00D52DA9"/>
    <w:rsid w:val="00D52E98"/>
    <w:rsid w:val="00D540D1"/>
    <w:rsid w:val="00D5503F"/>
    <w:rsid w:val="00D5522C"/>
    <w:rsid w:val="00D55940"/>
    <w:rsid w:val="00D562A7"/>
    <w:rsid w:val="00D56756"/>
    <w:rsid w:val="00D57792"/>
    <w:rsid w:val="00D601FE"/>
    <w:rsid w:val="00D60997"/>
    <w:rsid w:val="00D61BE8"/>
    <w:rsid w:val="00D61DED"/>
    <w:rsid w:val="00D620CE"/>
    <w:rsid w:val="00D62392"/>
    <w:rsid w:val="00D62AD3"/>
    <w:rsid w:val="00D62CEE"/>
    <w:rsid w:val="00D63A22"/>
    <w:rsid w:val="00D64602"/>
    <w:rsid w:val="00D6507E"/>
    <w:rsid w:val="00D65988"/>
    <w:rsid w:val="00D659E8"/>
    <w:rsid w:val="00D65CBD"/>
    <w:rsid w:val="00D65E96"/>
    <w:rsid w:val="00D65EAC"/>
    <w:rsid w:val="00D661E6"/>
    <w:rsid w:val="00D66243"/>
    <w:rsid w:val="00D6673C"/>
    <w:rsid w:val="00D66C0B"/>
    <w:rsid w:val="00D66C27"/>
    <w:rsid w:val="00D66CF5"/>
    <w:rsid w:val="00D66EAA"/>
    <w:rsid w:val="00D6769C"/>
    <w:rsid w:val="00D67921"/>
    <w:rsid w:val="00D705B0"/>
    <w:rsid w:val="00D70C0D"/>
    <w:rsid w:val="00D70EA1"/>
    <w:rsid w:val="00D71297"/>
    <w:rsid w:val="00D71FDF"/>
    <w:rsid w:val="00D72038"/>
    <w:rsid w:val="00D73037"/>
    <w:rsid w:val="00D734BE"/>
    <w:rsid w:val="00D737B3"/>
    <w:rsid w:val="00D746D5"/>
    <w:rsid w:val="00D7508E"/>
    <w:rsid w:val="00D75EC1"/>
    <w:rsid w:val="00D8009E"/>
    <w:rsid w:val="00D80266"/>
    <w:rsid w:val="00D8030B"/>
    <w:rsid w:val="00D8091B"/>
    <w:rsid w:val="00D80BCE"/>
    <w:rsid w:val="00D81E39"/>
    <w:rsid w:val="00D83FB5"/>
    <w:rsid w:val="00D845BA"/>
    <w:rsid w:val="00D848C7"/>
    <w:rsid w:val="00D84B3B"/>
    <w:rsid w:val="00D857A2"/>
    <w:rsid w:val="00D85C55"/>
    <w:rsid w:val="00D8657C"/>
    <w:rsid w:val="00D87098"/>
    <w:rsid w:val="00D900E5"/>
    <w:rsid w:val="00D90960"/>
    <w:rsid w:val="00D91110"/>
    <w:rsid w:val="00D9167D"/>
    <w:rsid w:val="00D917F0"/>
    <w:rsid w:val="00D918C2"/>
    <w:rsid w:val="00D92985"/>
    <w:rsid w:val="00D9319A"/>
    <w:rsid w:val="00D931DF"/>
    <w:rsid w:val="00D94032"/>
    <w:rsid w:val="00D94C23"/>
    <w:rsid w:val="00D95DF8"/>
    <w:rsid w:val="00D96A0E"/>
    <w:rsid w:val="00D97319"/>
    <w:rsid w:val="00D97CF3"/>
    <w:rsid w:val="00DA009B"/>
    <w:rsid w:val="00DA02BB"/>
    <w:rsid w:val="00DA1402"/>
    <w:rsid w:val="00DA1EAF"/>
    <w:rsid w:val="00DA204C"/>
    <w:rsid w:val="00DA28D7"/>
    <w:rsid w:val="00DA39C4"/>
    <w:rsid w:val="00DA42BE"/>
    <w:rsid w:val="00DA56A2"/>
    <w:rsid w:val="00DA56E7"/>
    <w:rsid w:val="00DA5CDC"/>
    <w:rsid w:val="00DA609E"/>
    <w:rsid w:val="00DA680F"/>
    <w:rsid w:val="00DA72C5"/>
    <w:rsid w:val="00DA7F46"/>
    <w:rsid w:val="00DB1C7E"/>
    <w:rsid w:val="00DB1D31"/>
    <w:rsid w:val="00DB28F8"/>
    <w:rsid w:val="00DB2D38"/>
    <w:rsid w:val="00DB3208"/>
    <w:rsid w:val="00DB36F0"/>
    <w:rsid w:val="00DB4102"/>
    <w:rsid w:val="00DB5A61"/>
    <w:rsid w:val="00DB6884"/>
    <w:rsid w:val="00DB6BCC"/>
    <w:rsid w:val="00DB70D4"/>
    <w:rsid w:val="00DB7398"/>
    <w:rsid w:val="00DB75BF"/>
    <w:rsid w:val="00DB78F4"/>
    <w:rsid w:val="00DB7EE0"/>
    <w:rsid w:val="00DC0964"/>
    <w:rsid w:val="00DC2003"/>
    <w:rsid w:val="00DC2C7D"/>
    <w:rsid w:val="00DC2FD3"/>
    <w:rsid w:val="00DC325D"/>
    <w:rsid w:val="00DC427E"/>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13E"/>
    <w:rsid w:val="00DD26AE"/>
    <w:rsid w:val="00DD2F28"/>
    <w:rsid w:val="00DD3231"/>
    <w:rsid w:val="00DD38B3"/>
    <w:rsid w:val="00DD3DE0"/>
    <w:rsid w:val="00DD3E4A"/>
    <w:rsid w:val="00DD4259"/>
    <w:rsid w:val="00DD46D9"/>
    <w:rsid w:val="00DD477A"/>
    <w:rsid w:val="00DD4ABC"/>
    <w:rsid w:val="00DD62E7"/>
    <w:rsid w:val="00DD690B"/>
    <w:rsid w:val="00DD6C75"/>
    <w:rsid w:val="00DD6E94"/>
    <w:rsid w:val="00DD70D0"/>
    <w:rsid w:val="00DD7822"/>
    <w:rsid w:val="00DE04C2"/>
    <w:rsid w:val="00DE0CFA"/>
    <w:rsid w:val="00DE0F35"/>
    <w:rsid w:val="00DE1BBD"/>
    <w:rsid w:val="00DE1E6E"/>
    <w:rsid w:val="00DE24FD"/>
    <w:rsid w:val="00DE2C63"/>
    <w:rsid w:val="00DE33C5"/>
    <w:rsid w:val="00DE3B62"/>
    <w:rsid w:val="00DE4758"/>
    <w:rsid w:val="00DE4976"/>
    <w:rsid w:val="00DE5B52"/>
    <w:rsid w:val="00DE5F09"/>
    <w:rsid w:val="00DE64E1"/>
    <w:rsid w:val="00DE7004"/>
    <w:rsid w:val="00DE712C"/>
    <w:rsid w:val="00DE75C2"/>
    <w:rsid w:val="00DE7E2A"/>
    <w:rsid w:val="00DF03E1"/>
    <w:rsid w:val="00DF16A3"/>
    <w:rsid w:val="00DF17DC"/>
    <w:rsid w:val="00DF1B63"/>
    <w:rsid w:val="00DF1C56"/>
    <w:rsid w:val="00DF2004"/>
    <w:rsid w:val="00DF20C8"/>
    <w:rsid w:val="00DF255E"/>
    <w:rsid w:val="00DF26BB"/>
    <w:rsid w:val="00DF2DCF"/>
    <w:rsid w:val="00DF31BF"/>
    <w:rsid w:val="00DF31FF"/>
    <w:rsid w:val="00DF34C3"/>
    <w:rsid w:val="00DF4822"/>
    <w:rsid w:val="00DF4E55"/>
    <w:rsid w:val="00DF59D4"/>
    <w:rsid w:val="00DF6F25"/>
    <w:rsid w:val="00DF728E"/>
    <w:rsid w:val="00DF7BF6"/>
    <w:rsid w:val="00E00CEA"/>
    <w:rsid w:val="00E01079"/>
    <w:rsid w:val="00E0190B"/>
    <w:rsid w:val="00E01B3B"/>
    <w:rsid w:val="00E021B8"/>
    <w:rsid w:val="00E02CFD"/>
    <w:rsid w:val="00E031EF"/>
    <w:rsid w:val="00E037FF"/>
    <w:rsid w:val="00E046C2"/>
    <w:rsid w:val="00E04D1D"/>
    <w:rsid w:val="00E058F0"/>
    <w:rsid w:val="00E0606D"/>
    <w:rsid w:val="00E065AC"/>
    <w:rsid w:val="00E068B4"/>
    <w:rsid w:val="00E06C17"/>
    <w:rsid w:val="00E06FFB"/>
    <w:rsid w:val="00E100D9"/>
    <w:rsid w:val="00E101A7"/>
    <w:rsid w:val="00E109E5"/>
    <w:rsid w:val="00E11278"/>
    <w:rsid w:val="00E1281B"/>
    <w:rsid w:val="00E13193"/>
    <w:rsid w:val="00E13E39"/>
    <w:rsid w:val="00E13E8F"/>
    <w:rsid w:val="00E141F7"/>
    <w:rsid w:val="00E149B2"/>
    <w:rsid w:val="00E1649A"/>
    <w:rsid w:val="00E165DE"/>
    <w:rsid w:val="00E171E4"/>
    <w:rsid w:val="00E17E86"/>
    <w:rsid w:val="00E202F7"/>
    <w:rsid w:val="00E20ED0"/>
    <w:rsid w:val="00E21286"/>
    <w:rsid w:val="00E22484"/>
    <w:rsid w:val="00E228F8"/>
    <w:rsid w:val="00E2297E"/>
    <w:rsid w:val="00E22ADD"/>
    <w:rsid w:val="00E25042"/>
    <w:rsid w:val="00E25DB3"/>
    <w:rsid w:val="00E25E84"/>
    <w:rsid w:val="00E2759E"/>
    <w:rsid w:val="00E27A1A"/>
    <w:rsid w:val="00E3072A"/>
    <w:rsid w:val="00E30C27"/>
    <w:rsid w:val="00E30C4F"/>
    <w:rsid w:val="00E3369E"/>
    <w:rsid w:val="00E3397F"/>
    <w:rsid w:val="00E363B3"/>
    <w:rsid w:val="00E36BDC"/>
    <w:rsid w:val="00E40668"/>
    <w:rsid w:val="00E40852"/>
    <w:rsid w:val="00E40967"/>
    <w:rsid w:val="00E41B2A"/>
    <w:rsid w:val="00E41B71"/>
    <w:rsid w:val="00E4245E"/>
    <w:rsid w:val="00E42508"/>
    <w:rsid w:val="00E434F5"/>
    <w:rsid w:val="00E437E2"/>
    <w:rsid w:val="00E43AD5"/>
    <w:rsid w:val="00E43F43"/>
    <w:rsid w:val="00E44373"/>
    <w:rsid w:val="00E45F17"/>
    <w:rsid w:val="00E46688"/>
    <w:rsid w:val="00E46B13"/>
    <w:rsid w:val="00E46EFC"/>
    <w:rsid w:val="00E47D7D"/>
    <w:rsid w:val="00E47F06"/>
    <w:rsid w:val="00E5116F"/>
    <w:rsid w:val="00E514E9"/>
    <w:rsid w:val="00E519A6"/>
    <w:rsid w:val="00E520DC"/>
    <w:rsid w:val="00E526C0"/>
    <w:rsid w:val="00E52808"/>
    <w:rsid w:val="00E52FC4"/>
    <w:rsid w:val="00E53A48"/>
    <w:rsid w:val="00E53AA5"/>
    <w:rsid w:val="00E53BD8"/>
    <w:rsid w:val="00E55739"/>
    <w:rsid w:val="00E570AA"/>
    <w:rsid w:val="00E570CC"/>
    <w:rsid w:val="00E57714"/>
    <w:rsid w:val="00E60354"/>
    <w:rsid w:val="00E60650"/>
    <w:rsid w:val="00E60B80"/>
    <w:rsid w:val="00E60CCA"/>
    <w:rsid w:val="00E616B0"/>
    <w:rsid w:val="00E61B16"/>
    <w:rsid w:val="00E627EE"/>
    <w:rsid w:val="00E62BC0"/>
    <w:rsid w:val="00E62D7A"/>
    <w:rsid w:val="00E634DD"/>
    <w:rsid w:val="00E638F2"/>
    <w:rsid w:val="00E64047"/>
    <w:rsid w:val="00E651B7"/>
    <w:rsid w:val="00E6573D"/>
    <w:rsid w:val="00E65DD5"/>
    <w:rsid w:val="00E67BA8"/>
    <w:rsid w:val="00E67D49"/>
    <w:rsid w:val="00E67EB6"/>
    <w:rsid w:val="00E7030F"/>
    <w:rsid w:val="00E704DD"/>
    <w:rsid w:val="00E70881"/>
    <w:rsid w:val="00E70DEF"/>
    <w:rsid w:val="00E7145E"/>
    <w:rsid w:val="00E71F86"/>
    <w:rsid w:val="00E7240D"/>
    <w:rsid w:val="00E725D2"/>
    <w:rsid w:val="00E7459C"/>
    <w:rsid w:val="00E74A7B"/>
    <w:rsid w:val="00E74B4C"/>
    <w:rsid w:val="00E74B9B"/>
    <w:rsid w:val="00E754FD"/>
    <w:rsid w:val="00E759BC"/>
    <w:rsid w:val="00E75D27"/>
    <w:rsid w:val="00E7674E"/>
    <w:rsid w:val="00E76C86"/>
    <w:rsid w:val="00E7733D"/>
    <w:rsid w:val="00E80719"/>
    <w:rsid w:val="00E80F04"/>
    <w:rsid w:val="00E810C9"/>
    <w:rsid w:val="00E81795"/>
    <w:rsid w:val="00E818A7"/>
    <w:rsid w:val="00E821E5"/>
    <w:rsid w:val="00E83278"/>
    <w:rsid w:val="00E833DA"/>
    <w:rsid w:val="00E83B7B"/>
    <w:rsid w:val="00E8455A"/>
    <w:rsid w:val="00E84BA8"/>
    <w:rsid w:val="00E86B32"/>
    <w:rsid w:val="00E86B6D"/>
    <w:rsid w:val="00E86DAE"/>
    <w:rsid w:val="00E87D4C"/>
    <w:rsid w:val="00E906BC"/>
    <w:rsid w:val="00E910BA"/>
    <w:rsid w:val="00E9158E"/>
    <w:rsid w:val="00E91AAC"/>
    <w:rsid w:val="00E91CDE"/>
    <w:rsid w:val="00E92056"/>
    <w:rsid w:val="00E93643"/>
    <w:rsid w:val="00E93E48"/>
    <w:rsid w:val="00E942A4"/>
    <w:rsid w:val="00E94654"/>
    <w:rsid w:val="00E94E9D"/>
    <w:rsid w:val="00E95331"/>
    <w:rsid w:val="00E95356"/>
    <w:rsid w:val="00E95BDD"/>
    <w:rsid w:val="00E95C62"/>
    <w:rsid w:val="00E95F84"/>
    <w:rsid w:val="00E97088"/>
    <w:rsid w:val="00E97320"/>
    <w:rsid w:val="00E97D7D"/>
    <w:rsid w:val="00EA06E8"/>
    <w:rsid w:val="00EA0E6C"/>
    <w:rsid w:val="00EA214B"/>
    <w:rsid w:val="00EA2471"/>
    <w:rsid w:val="00EA3B59"/>
    <w:rsid w:val="00EA4345"/>
    <w:rsid w:val="00EA48F1"/>
    <w:rsid w:val="00EA4A32"/>
    <w:rsid w:val="00EA4FE6"/>
    <w:rsid w:val="00EA5501"/>
    <w:rsid w:val="00EA7C70"/>
    <w:rsid w:val="00EA7F98"/>
    <w:rsid w:val="00EB05EF"/>
    <w:rsid w:val="00EB0E68"/>
    <w:rsid w:val="00EB193F"/>
    <w:rsid w:val="00EB1A0E"/>
    <w:rsid w:val="00EB1AF5"/>
    <w:rsid w:val="00EB2031"/>
    <w:rsid w:val="00EB28D5"/>
    <w:rsid w:val="00EB2C0D"/>
    <w:rsid w:val="00EB349B"/>
    <w:rsid w:val="00EB3811"/>
    <w:rsid w:val="00EB3A10"/>
    <w:rsid w:val="00EB5E0E"/>
    <w:rsid w:val="00EB7505"/>
    <w:rsid w:val="00EB7ADF"/>
    <w:rsid w:val="00EB7C82"/>
    <w:rsid w:val="00EC071E"/>
    <w:rsid w:val="00EC0866"/>
    <w:rsid w:val="00EC1455"/>
    <w:rsid w:val="00EC146D"/>
    <w:rsid w:val="00EC1784"/>
    <w:rsid w:val="00EC2DBB"/>
    <w:rsid w:val="00EC370E"/>
    <w:rsid w:val="00EC474D"/>
    <w:rsid w:val="00EC4B4E"/>
    <w:rsid w:val="00EC6169"/>
    <w:rsid w:val="00EC65A1"/>
    <w:rsid w:val="00EC6CD1"/>
    <w:rsid w:val="00EC6FC2"/>
    <w:rsid w:val="00EC7159"/>
    <w:rsid w:val="00EC7194"/>
    <w:rsid w:val="00EC71FB"/>
    <w:rsid w:val="00EC7707"/>
    <w:rsid w:val="00ED02F8"/>
    <w:rsid w:val="00ED0A49"/>
    <w:rsid w:val="00ED0CF8"/>
    <w:rsid w:val="00ED1278"/>
    <w:rsid w:val="00ED168D"/>
    <w:rsid w:val="00ED16B3"/>
    <w:rsid w:val="00ED1967"/>
    <w:rsid w:val="00ED1A96"/>
    <w:rsid w:val="00ED2778"/>
    <w:rsid w:val="00ED2CE1"/>
    <w:rsid w:val="00ED2D77"/>
    <w:rsid w:val="00ED35E7"/>
    <w:rsid w:val="00ED38C5"/>
    <w:rsid w:val="00ED4313"/>
    <w:rsid w:val="00ED4C33"/>
    <w:rsid w:val="00ED4F52"/>
    <w:rsid w:val="00ED5EE8"/>
    <w:rsid w:val="00ED76F0"/>
    <w:rsid w:val="00ED7AC4"/>
    <w:rsid w:val="00ED7BF9"/>
    <w:rsid w:val="00ED7F66"/>
    <w:rsid w:val="00EE025D"/>
    <w:rsid w:val="00EE142C"/>
    <w:rsid w:val="00EE1711"/>
    <w:rsid w:val="00EE2134"/>
    <w:rsid w:val="00EE215A"/>
    <w:rsid w:val="00EE3145"/>
    <w:rsid w:val="00EE33DD"/>
    <w:rsid w:val="00EE38A8"/>
    <w:rsid w:val="00EE41F3"/>
    <w:rsid w:val="00EE4488"/>
    <w:rsid w:val="00EE4539"/>
    <w:rsid w:val="00EE481F"/>
    <w:rsid w:val="00EE5806"/>
    <w:rsid w:val="00EE5F65"/>
    <w:rsid w:val="00EE6691"/>
    <w:rsid w:val="00EE6725"/>
    <w:rsid w:val="00EE6E24"/>
    <w:rsid w:val="00EF0E0C"/>
    <w:rsid w:val="00EF0F19"/>
    <w:rsid w:val="00EF0FD3"/>
    <w:rsid w:val="00EF1088"/>
    <w:rsid w:val="00EF1250"/>
    <w:rsid w:val="00EF1437"/>
    <w:rsid w:val="00EF16B0"/>
    <w:rsid w:val="00EF2086"/>
    <w:rsid w:val="00EF22FA"/>
    <w:rsid w:val="00EF23D6"/>
    <w:rsid w:val="00EF2426"/>
    <w:rsid w:val="00EF4C79"/>
    <w:rsid w:val="00EF5251"/>
    <w:rsid w:val="00EF5A28"/>
    <w:rsid w:val="00EF5A64"/>
    <w:rsid w:val="00EF5C1B"/>
    <w:rsid w:val="00EF72DA"/>
    <w:rsid w:val="00F002AF"/>
    <w:rsid w:val="00F0048D"/>
    <w:rsid w:val="00F006E2"/>
    <w:rsid w:val="00F021CB"/>
    <w:rsid w:val="00F02F6A"/>
    <w:rsid w:val="00F03E22"/>
    <w:rsid w:val="00F0404C"/>
    <w:rsid w:val="00F04141"/>
    <w:rsid w:val="00F049AA"/>
    <w:rsid w:val="00F04F51"/>
    <w:rsid w:val="00F04FE7"/>
    <w:rsid w:val="00F06279"/>
    <w:rsid w:val="00F06A3E"/>
    <w:rsid w:val="00F06C76"/>
    <w:rsid w:val="00F07735"/>
    <w:rsid w:val="00F07C18"/>
    <w:rsid w:val="00F10259"/>
    <w:rsid w:val="00F106EC"/>
    <w:rsid w:val="00F10B87"/>
    <w:rsid w:val="00F119CB"/>
    <w:rsid w:val="00F11D05"/>
    <w:rsid w:val="00F128B9"/>
    <w:rsid w:val="00F12AAD"/>
    <w:rsid w:val="00F12E3F"/>
    <w:rsid w:val="00F14A02"/>
    <w:rsid w:val="00F14D2C"/>
    <w:rsid w:val="00F1613E"/>
    <w:rsid w:val="00F162F0"/>
    <w:rsid w:val="00F168AD"/>
    <w:rsid w:val="00F168D0"/>
    <w:rsid w:val="00F1695D"/>
    <w:rsid w:val="00F16BFF"/>
    <w:rsid w:val="00F204D1"/>
    <w:rsid w:val="00F20752"/>
    <w:rsid w:val="00F212E3"/>
    <w:rsid w:val="00F213F1"/>
    <w:rsid w:val="00F214E0"/>
    <w:rsid w:val="00F223CC"/>
    <w:rsid w:val="00F223E0"/>
    <w:rsid w:val="00F22D43"/>
    <w:rsid w:val="00F23158"/>
    <w:rsid w:val="00F237F1"/>
    <w:rsid w:val="00F23D42"/>
    <w:rsid w:val="00F23F55"/>
    <w:rsid w:val="00F251D1"/>
    <w:rsid w:val="00F255A6"/>
    <w:rsid w:val="00F25C5A"/>
    <w:rsid w:val="00F26CC2"/>
    <w:rsid w:val="00F26F2E"/>
    <w:rsid w:val="00F274BB"/>
    <w:rsid w:val="00F27BD5"/>
    <w:rsid w:val="00F3009A"/>
    <w:rsid w:val="00F30128"/>
    <w:rsid w:val="00F30729"/>
    <w:rsid w:val="00F308ED"/>
    <w:rsid w:val="00F31342"/>
    <w:rsid w:val="00F31397"/>
    <w:rsid w:val="00F318F7"/>
    <w:rsid w:val="00F32849"/>
    <w:rsid w:val="00F33D54"/>
    <w:rsid w:val="00F34EE7"/>
    <w:rsid w:val="00F35020"/>
    <w:rsid w:val="00F354EA"/>
    <w:rsid w:val="00F356B9"/>
    <w:rsid w:val="00F36035"/>
    <w:rsid w:val="00F3631B"/>
    <w:rsid w:val="00F36A56"/>
    <w:rsid w:val="00F378C0"/>
    <w:rsid w:val="00F37CDA"/>
    <w:rsid w:val="00F37E8C"/>
    <w:rsid w:val="00F401E5"/>
    <w:rsid w:val="00F4035F"/>
    <w:rsid w:val="00F40870"/>
    <w:rsid w:val="00F413DD"/>
    <w:rsid w:val="00F41418"/>
    <w:rsid w:val="00F4333C"/>
    <w:rsid w:val="00F43800"/>
    <w:rsid w:val="00F43AEB"/>
    <w:rsid w:val="00F43E2B"/>
    <w:rsid w:val="00F45271"/>
    <w:rsid w:val="00F459E8"/>
    <w:rsid w:val="00F45D1A"/>
    <w:rsid w:val="00F4623A"/>
    <w:rsid w:val="00F463D0"/>
    <w:rsid w:val="00F46602"/>
    <w:rsid w:val="00F47C75"/>
    <w:rsid w:val="00F5030B"/>
    <w:rsid w:val="00F50D3C"/>
    <w:rsid w:val="00F51080"/>
    <w:rsid w:val="00F515B2"/>
    <w:rsid w:val="00F5167F"/>
    <w:rsid w:val="00F523B3"/>
    <w:rsid w:val="00F52E34"/>
    <w:rsid w:val="00F53496"/>
    <w:rsid w:val="00F53E5A"/>
    <w:rsid w:val="00F53FEE"/>
    <w:rsid w:val="00F5497F"/>
    <w:rsid w:val="00F549AE"/>
    <w:rsid w:val="00F54DF7"/>
    <w:rsid w:val="00F54FE1"/>
    <w:rsid w:val="00F550AF"/>
    <w:rsid w:val="00F55589"/>
    <w:rsid w:val="00F55693"/>
    <w:rsid w:val="00F563DD"/>
    <w:rsid w:val="00F5663D"/>
    <w:rsid w:val="00F56884"/>
    <w:rsid w:val="00F56D0D"/>
    <w:rsid w:val="00F573E4"/>
    <w:rsid w:val="00F5778F"/>
    <w:rsid w:val="00F60BA7"/>
    <w:rsid w:val="00F61360"/>
    <w:rsid w:val="00F616F0"/>
    <w:rsid w:val="00F6288F"/>
    <w:rsid w:val="00F6336A"/>
    <w:rsid w:val="00F63E90"/>
    <w:rsid w:val="00F64160"/>
    <w:rsid w:val="00F644B9"/>
    <w:rsid w:val="00F64DD2"/>
    <w:rsid w:val="00F6548D"/>
    <w:rsid w:val="00F65E78"/>
    <w:rsid w:val="00F660B3"/>
    <w:rsid w:val="00F6704F"/>
    <w:rsid w:val="00F67143"/>
    <w:rsid w:val="00F676FF"/>
    <w:rsid w:val="00F6793E"/>
    <w:rsid w:val="00F67982"/>
    <w:rsid w:val="00F70357"/>
    <w:rsid w:val="00F704B7"/>
    <w:rsid w:val="00F705F9"/>
    <w:rsid w:val="00F717BC"/>
    <w:rsid w:val="00F71AF4"/>
    <w:rsid w:val="00F72636"/>
    <w:rsid w:val="00F72DAA"/>
    <w:rsid w:val="00F73D76"/>
    <w:rsid w:val="00F73E3F"/>
    <w:rsid w:val="00F73EDD"/>
    <w:rsid w:val="00F7422C"/>
    <w:rsid w:val="00F746CD"/>
    <w:rsid w:val="00F75621"/>
    <w:rsid w:val="00F75BF0"/>
    <w:rsid w:val="00F7741A"/>
    <w:rsid w:val="00F80BBD"/>
    <w:rsid w:val="00F81092"/>
    <w:rsid w:val="00F81345"/>
    <w:rsid w:val="00F8196B"/>
    <w:rsid w:val="00F825FC"/>
    <w:rsid w:val="00F82798"/>
    <w:rsid w:val="00F82ADC"/>
    <w:rsid w:val="00F82C1A"/>
    <w:rsid w:val="00F82F4D"/>
    <w:rsid w:val="00F83505"/>
    <w:rsid w:val="00F8414A"/>
    <w:rsid w:val="00F846A1"/>
    <w:rsid w:val="00F846D8"/>
    <w:rsid w:val="00F8470D"/>
    <w:rsid w:val="00F85625"/>
    <w:rsid w:val="00F857A6"/>
    <w:rsid w:val="00F859AF"/>
    <w:rsid w:val="00F86376"/>
    <w:rsid w:val="00F86D35"/>
    <w:rsid w:val="00F910AE"/>
    <w:rsid w:val="00F91EA3"/>
    <w:rsid w:val="00F927A2"/>
    <w:rsid w:val="00F931E0"/>
    <w:rsid w:val="00F93433"/>
    <w:rsid w:val="00F94094"/>
    <w:rsid w:val="00F942B1"/>
    <w:rsid w:val="00F94611"/>
    <w:rsid w:val="00F94FCB"/>
    <w:rsid w:val="00F95061"/>
    <w:rsid w:val="00F95D71"/>
    <w:rsid w:val="00F96338"/>
    <w:rsid w:val="00F970D6"/>
    <w:rsid w:val="00F97D04"/>
    <w:rsid w:val="00FA003B"/>
    <w:rsid w:val="00FA02FD"/>
    <w:rsid w:val="00FA0525"/>
    <w:rsid w:val="00FA1912"/>
    <w:rsid w:val="00FA1957"/>
    <w:rsid w:val="00FA23E2"/>
    <w:rsid w:val="00FA2D3F"/>
    <w:rsid w:val="00FA2F3C"/>
    <w:rsid w:val="00FA41AB"/>
    <w:rsid w:val="00FA46F5"/>
    <w:rsid w:val="00FA49D4"/>
    <w:rsid w:val="00FA4EA1"/>
    <w:rsid w:val="00FA587E"/>
    <w:rsid w:val="00FA58A8"/>
    <w:rsid w:val="00FA5AB5"/>
    <w:rsid w:val="00FA5DE8"/>
    <w:rsid w:val="00FA6A49"/>
    <w:rsid w:val="00FA6B84"/>
    <w:rsid w:val="00FA6EB4"/>
    <w:rsid w:val="00FA6F36"/>
    <w:rsid w:val="00FA75FD"/>
    <w:rsid w:val="00FA7C6E"/>
    <w:rsid w:val="00FB0629"/>
    <w:rsid w:val="00FB198F"/>
    <w:rsid w:val="00FB1C0A"/>
    <w:rsid w:val="00FB33FF"/>
    <w:rsid w:val="00FB399A"/>
    <w:rsid w:val="00FB44B5"/>
    <w:rsid w:val="00FB4BFC"/>
    <w:rsid w:val="00FB4D0F"/>
    <w:rsid w:val="00FB54E7"/>
    <w:rsid w:val="00FB56D9"/>
    <w:rsid w:val="00FB6850"/>
    <w:rsid w:val="00FB7245"/>
    <w:rsid w:val="00FB7ACA"/>
    <w:rsid w:val="00FC0168"/>
    <w:rsid w:val="00FC03C8"/>
    <w:rsid w:val="00FC1EA3"/>
    <w:rsid w:val="00FC1F9A"/>
    <w:rsid w:val="00FC204B"/>
    <w:rsid w:val="00FC2E1E"/>
    <w:rsid w:val="00FC3549"/>
    <w:rsid w:val="00FC396A"/>
    <w:rsid w:val="00FC3D51"/>
    <w:rsid w:val="00FC41A8"/>
    <w:rsid w:val="00FC4D01"/>
    <w:rsid w:val="00FC52BB"/>
    <w:rsid w:val="00FC545D"/>
    <w:rsid w:val="00FC5795"/>
    <w:rsid w:val="00FC67A5"/>
    <w:rsid w:val="00FC6E87"/>
    <w:rsid w:val="00FC713A"/>
    <w:rsid w:val="00FC72E6"/>
    <w:rsid w:val="00FD193E"/>
    <w:rsid w:val="00FD1C4B"/>
    <w:rsid w:val="00FD1DCC"/>
    <w:rsid w:val="00FD22D0"/>
    <w:rsid w:val="00FD22FA"/>
    <w:rsid w:val="00FD2662"/>
    <w:rsid w:val="00FD2F78"/>
    <w:rsid w:val="00FD3D8E"/>
    <w:rsid w:val="00FD4101"/>
    <w:rsid w:val="00FD45B6"/>
    <w:rsid w:val="00FD46F0"/>
    <w:rsid w:val="00FD4E67"/>
    <w:rsid w:val="00FD52C3"/>
    <w:rsid w:val="00FD5B38"/>
    <w:rsid w:val="00FD65B6"/>
    <w:rsid w:val="00FD6831"/>
    <w:rsid w:val="00FD710D"/>
    <w:rsid w:val="00FD7374"/>
    <w:rsid w:val="00FE0ABF"/>
    <w:rsid w:val="00FE0B44"/>
    <w:rsid w:val="00FE119B"/>
    <w:rsid w:val="00FE1D5F"/>
    <w:rsid w:val="00FE2F2C"/>
    <w:rsid w:val="00FE312E"/>
    <w:rsid w:val="00FE319A"/>
    <w:rsid w:val="00FE34EC"/>
    <w:rsid w:val="00FE3572"/>
    <w:rsid w:val="00FE3646"/>
    <w:rsid w:val="00FE3774"/>
    <w:rsid w:val="00FE4E83"/>
    <w:rsid w:val="00FE51CA"/>
    <w:rsid w:val="00FE607B"/>
    <w:rsid w:val="00FE6944"/>
    <w:rsid w:val="00FE7384"/>
    <w:rsid w:val="00FE7545"/>
    <w:rsid w:val="00FE75FC"/>
    <w:rsid w:val="00FE769E"/>
    <w:rsid w:val="00FE76EE"/>
    <w:rsid w:val="00FF0E8C"/>
    <w:rsid w:val="00FF1683"/>
    <w:rsid w:val="00FF1DE0"/>
    <w:rsid w:val="00FF21AA"/>
    <w:rsid w:val="00FF3305"/>
    <w:rsid w:val="00FF3A09"/>
    <w:rsid w:val="00FF3A9C"/>
    <w:rsid w:val="00FF48A3"/>
    <w:rsid w:val="00FF573E"/>
    <w:rsid w:val="00FF5F66"/>
    <w:rsid w:val="00FF5FAA"/>
    <w:rsid w:val="00FF608F"/>
    <w:rsid w:val="00FF71C5"/>
    <w:rsid w:val="00FF73D1"/>
    <w:rsid w:val="00FF7511"/>
    <w:rsid w:val="00FF7D97"/>
    <w:rsid w:val="00FF7DF5"/>
    <w:rsid w:val="011138F0"/>
    <w:rsid w:val="01AE1E94"/>
    <w:rsid w:val="032A1114"/>
    <w:rsid w:val="03C50843"/>
    <w:rsid w:val="05241976"/>
    <w:rsid w:val="067C15A6"/>
    <w:rsid w:val="07597A7B"/>
    <w:rsid w:val="08030185"/>
    <w:rsid w:val="08666817"/>
    <w:rsid w:val="095660EC"/>
    <w:rsid w:val="09EE4F48"/>
    <w:rsid w:val="0A596291"/>
    <w:rsid w:val="0B9E75D7"/>
    <w:rsid w:val="0BA74865"/>
    <w:rsid w:val="0E3775B9"/>
    <w:rsid w:val="110765F0"/>
    <w:rsid w:val="111F2C9C"/>
    <w:rsid w:val="16473933"/>
    <w:rsid w:val="18028372"/>
    <w:rsid w:val="1CC10149"/>
    <w:rsid w:val="1D4D0075"/>
    <w:rsid w:val="1E2E7762"/>
    <w:rsid w:val="1F552C1D"/>
    <w:rsid w:val="2002670B"/>
    <w:rsid w:val="200A1C59"/>
    <w:rsid w:val="21F621E6"/>
    <w:rsid w:val="24F17B34"/>
    <w:rsid w:val="2593449F"/>
    <w:rsid w:val="26E10B6B"/>
    <w:rsid w:val="2A127063"/>
    <w:rsid w:val="2AB37770"/>
    <w:rsid w:val="2B4909D8"/>
    <w:rsid w:val="2EBD39FF"/>
    <w:rsid w:val="2F105EB7"/>
    <w:rsid w:val="305177B7"/>
    <w:rsid w:val="30772357"/>
    <w:rsid w:val="30946CB6"/>
    <w:rsid w:val="30B273E7"/>
    <w:rsid w:val="33FB7DDF"/>
    <w:rsid w:val="350A3065"/>
    <w:rsid w:val="35B62879"/>
    <w:rsid w:val="36B417CA"/>
    <w:rsid w:val="36FF6B30"/>
    <w:rsid w:val="370905A4"/>
    <w:rsid w:val="38407B96"/>
    <w:rsid w:val="38653A79"/>
    <w:rsid w:val="388013E7"/>
    <w:rsid w:val="3C7C617E"/>
    <w:rsid w:val="3DF47029"/>
    <w:rsid w:val="3E9855DC"/>
    <w:rsid w:val="3EAC69E2"/>
    <w:rsid w:val="3ED86169"/>
    <w:rsid w:val="405E7F9B"/>
    <w:rsid w:val="433D2BE6"/>
    <w:rsid w:val="458E2D89"/>
    <w:rsid w:val="47157EE9"/>
    <w:rsid w:val="47576473"/>
    <w:rsid w:val="47AF2F63"/>
    <w:rsid w:val="48EF5864"/>
    <w:rsid w:val="4CBF412D"/>
    <w:rsid w:val="4CEE0420"/>
    <w:rsid w:val="4E816CDB"/>
    <w:rsid w:val="4F226AB9"/>
    <w:rsid w:val="514213A3"/>
    <w:rsid w:val="516B2380"/>
    <w:rsid w:val="51FD4A72"/>
    <w:rsid w:val="52102850"/>
    <w:rsid w:val="541657D9"/>
    <w:rsid w:val="543F11CA"/>
    <w:rsid w:val="560E52F8"/>
    <w:rsid w:val="564458CB"/>
    <w:rsid w:val="57B45D57"/>
    <w:rsid w:val="58EC3537"/>
    <w:rsid w:val="5B63489B"/>
    <w:rsid w:val="5B81656C"/>
    <w:rsid w:val="5C8E0AED"/>
    <w:rsid w:val="5E2F0501"/>
    <w:rsid w:val="5E49308C"/>
    <w:rsid w:val="60B85282"/>
    <w:rsid w:val="649C7F73"/>
    <w:rsid w:val="68810A52"/>
    <w:rsid w:val="68F954C6"/>
    <w:rsid w:val="6B560109"/>
    <w:rsid w:val="6BFC5761"/>
    <w:rsid w:val="6D0B3EE8"/>
    <w:rsid w:val="6E5740CB"/>
    <w:rsid w:val="70542570"/>
    <w:rsid w:val="70577584"/>
    <w:rsid w:val="719E3550"/>
    <w:rsid w:val="720364B5"/>
    <w:rsid w:val="73B76246"/>
    <w:rsid w:val="73FB5DD0"/>
    <w:rsid w:val="742C1313"/>
    <w:rsid w:val="7487479C"/>
    <w:rsid w:val="750A792C"/>
    <w:rsid w:val="75776CB1"/>
    <w:rsid w:val="75A12C47"/>
    <w:rsid w:val="75C8506C"/>
    <w:rsid w:val="768C42EB"/>
    <w:rsid w:val="77E110F7"/>
    <w:rsid w:val="797D7F1B"/>
    <w:rsid w:val="798D085F"/>
    <w:rsid w:val="7A614DA3"/>
    <w:rsid w:val="7C705B15"/>
    <w:rsid w:val="7DA008BB"/>
    <w:rsid w:val="7DA8556F"/>
    <w:rsid w:val="7DD10836"/>
    <w:rsid w:val="7E307C52"/>
    <w:rsid w:val="7EB51144"/>
    <w:rsid w:val="7F0E15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32"/>
    <w:qFormat/>
    <w:uiPriority w:val="9"/>
    <w:pPr>
      <w:keepNext/>
      <w:keepLines/>
      <w:numPr>
        <w:ilvl w:val="0"/>
        <w:numId w:val="1"/>
      </w:numPr>
      <w:spacing w:before="340" w:after="330" w:line="578" w:lineRule="auto"/>
      <w:outlineLvl w:val="0"/>
    </w:pPr>
    <w:rPr>
      <w:rFonts w:eastAsia="微软雅黑"/>
      <w:b/>
      <w:bCs/>
      <w:color w:val="F0463C"/>
      <w:kern w:val="44"/>
      <w:sz w:val="44"/>
      <w:szCs w:val="44"/>
    </w:rPr>
  </w:style>
  <w:style w:type="paragraph" w:styleId="3">
    <w:name w:val="heading 2"/>
    <w:basedOn w:val="1"/>
    <w:next w:val="1"/>
    <w:link w:val="30"/>
    <w:unhideWhenUsed/>
    <w:qFormat/>
    <w:uiPriority w:val="9"/>
    <w:pPr>
      <w:keepNext/>
      <w:keepLines/>
      <w:numPr>
        <w:ilvl w:val="1"/>
        <w:numId w:val="1"/>
      </w:numPr>
      <w:spacing w:before="260" w:after="260" w:line="416" w:lineRule="auto"/>
      <w:ind w:left="0" w:firstLine="0"/>
      <w:outlineLvl w:val="1"/>
    </w:pPr>
    <w:rPr>
      <w:rFonts w:asciiTheme="majorHAnsi" w:hAnsiTheme="majorHAnsi" w:eastAsiaTheme="majorEastAsia" w:cstheme="majorBidi"/>
      <w:b/>
      <w:bCs/>
      <w:color w:val="F0463C"/>
      <w:sz w:val="32"/>
      <w:szCs w:val="32"/>
    </w:rPr>
  </w:style>
  <w:style w:type="paragraph" w:styleId="4">
    <w:name w:val="heading 3"/>
    <w:basedOn w:val="1"/>
    <w:next w:val="1"/>
    <w:link w:val="61"/>
    <w:semiHidden/>
    <w:unhideWhenUsed/>
    <w:qFormat/>
    <w:uiPriority w:val="9"/>
    <w:pPr>
      <w:keepNext/>
      <w:keepLines/>
      <w:numPr>
        <w:ilvl w:val="2"/>
        <w:numId w:val="1"/>
      </w:numPr>
      <w:spacing w:before="40"/>
      <w:ind w:firstLine="40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69"/>
    <w:semiHidden/>
    <w:unhideWhenUsed/>
    <w:qFormat/>
    <w:uiPriority w:val="9"/>
    <w:pPr>
      <w:keepNext/>
      <w:keepLines/>
      <w:numPr>
        <w:ilvl w:val="3"/>
        <w:numId w:val="1"/>
      </w:numPr>
      <w:spacing w:before="280" w:after="290" w:line="376" w:lineRule="auto"/>
      <w:ind w:firstLine="402"/>
      <w:outlineLvl w:val="3"/>
    </w:pPr>
    <w:rPr>
      <w:rFonts w:asciiTheme="majorHAnsi" w:hAnsiTheme="majorHAnsi" w:eastAsiaTheme="majorEastAsia" w:cstheme="majorBidi"/>
      <w:b/>
      <w:bCs/>
      <w:sz w:val="28"/>
      <w:szCs w:val="28"/>
    </w:rPr>
  </w:style>
  <w:style w:type="paragraph" w:styleId="6">
    <w:name w:val="heading 5"/>
    <w:basedOn w:val="1"/>
    <w:next w:val="1"/>
    <w:link w:val="62"/>
    <w:semiHidden/>
    <w:unhideWhenUsed/>
    <w:qFormat/>
    <w:uiPriority w:val="9"/>
    <w:pPr>
      <w:keepNext/>
      <w:keepLines/>
      <w:numPr>
        <w:ilvl w:val="4"/>
        <w:numId w:val="1"/>
      </w:numPr>
      <w:spacing w:before="40"/>
      <w:ind w:firstLine="402"/>
      <w:outlineLvl w:val="4"/>
    </w:pPr>
    <w:rPr>
      <w:rFonts w:asciiTheme="majorHAnsi" w:hAnsiTheme="majorHAnsi" w:eastAsiaTheme="majorEastAsia" w:cstheme="majorBidi"/>
      <w:color w:val="2E75B6" w:themeColor="accent1" w:themeShade="BF"/>
    </w:rPr>
  </w:style>
  <w:style w:type="paragraph" w:styleId="7">
    <w:name w:val="heading 6"/>
    <w:basedOn w:val="1"/>
    <w:next w:val="1"/>
    <w:semiHidden/>
    <w:unhideWhenUsed/>
    <w:qFormat/>
    <w:uiPriority w:val="9"/>
    <w:pPr>
      <w:keepNext/>
      <w:keepLines/>
      <w:numPr>
        <w:ilvl w:val="5"/>
        <w:numId w:val="1"/>
      </w:numPr>
      <w:spacing w:before="240" w:beforeLines="0" w:beforeAutospacing="0" w:after="64" w:afterLines="0" w:afterAutospacing="0" w:line="317" w:lineRule="auto"/>
      <w:ind w:firstLine="402"/>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1"/>
      </w:numPr>
      <w:spacing w:before="240" w:beforeLines="0" w:beforeAutospacing="0" w:after="64" w:afterLines="0" w:afterAutospacing="0" w:line="317" w:lineRule="auto"/>
      <w:ind w:firstLine="402"/>
      <w:outlineLvl w:val="6"/>
    </w:pPr>
    <w:rPr>
      <w:b/>
      <w:sz w:val="24"/>
    </w:rPr>
  </w:style>
  <w:style w:type="paragraph" w:styleId="9">
    <w:name w:val="heading 8"/>
    <w:basedOn w:val="1"/>
    <w:next w:val="1"/>
    <w:semiHidden/>
    <w:unhideWhenUsed/>
    <w:qFormat/>
    <w:uiPriority w:val="9"/>
    <w:pPr>
      <w:keepNext/>
      <w:keepLines/>
      <w:numPr>
        <w:ilvl w:val="7"/>
        <w:numId w:val="1"/>
      </w:numPr>
      <w:spacing w:before="240" w:beforeLines="0" w:beforeAutospacing="0" w:after="64" w:afterLines="0" w:afterAutospacing="0" w:line="317" w:lineRule="auto"/>
      <w:ind w:firstLine="402"/>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1"/>
      </w:numPr>
      <w:spacing w:before="240" w:beforeLines="0" w:beforeAutospacing="0" w:after="64" w:afterLines="0" w:afterAutospacing="0" w:line="317" w:lineRule="auto"/>
      <w:ind w:firstLine="402"/>
      <w:outlineLvl w:val="8"/>
    </w:pPr>
    <w:rPr>
      <w:rFonts w:ascii="Arial" w:hAnsi="Arial" w:eastAsia="黑体"/>
      <w:sz w:val="21"/>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link w:val="56"/>
    <w:semiHidden/>
    <w:unhideWhenUsed/>
    <w:qFormat/>
    <w:uiPriority w:val="99"/>
    <w:pPr>
      <w:jc w:val="left"/>
    </w:pPr>
  </w:style>
  <w:style w:type="paragraph" w:styleId="12">
    <w:name w:val="toc 3"/>
    <w:basedOn w:val="1"/>
    <w:next w:val="1"/>
    <w:unhideWhenUsed/>
    <w:qFormat/>
    <w:uiPriority w:val="39"/>
    <w:pPr>
      <w:spacing w:after="100"/>
      <w:ind w:left="420"/>
    </w:pPr>
  </w:style>
  <w:style w:type="paragraph" w:styleId="13">
    <w:name w:val="Balloon Text"/>
    <w:basedOn w:val="1"/>
    <w:link w:val="54"/>
    <w:semiHidden/>
    <w:unhideWhenUsed/>
    <w:qFormat/>
    <w:uiPriority w:val="99"/>
    <w:rPr>
      <w:sz w:val="18"/>
      <w:szCs w:val="18"/>
    </w:rPr>
  </w:style>
  <w:style w:type="paragraph" w:styleId="14">
    <w:name w:val="footer"/>
    <w:basedOn w:val="1"/>
    <w:link w:val="46"/>
    <w:unhideWhenUsed/>
    <w:qFormat/>
    <w:uiPriority w:val="99"/>
    <w:pPr>
      <w:tabs>
        <w:tab w:val="center" w:pos="4153"/>
        <w:tab w:val="right" w:pos="8306"/>
      </w:tabs>
      <w:snapToGrid w:val="0"/>
      <w:jc w:val="left"/>
    </w:pPr>
    <w:rPr>
      <w:sz w:val="18"/>
      <w:szCs w:val="18"/>
    </w:rPr>
  </w:style>
  <w:style w:type="paragraph" w:styleId="15">
    <w:name w:val="header"/>
    <w:basedOn w:val="1"/>
    <w:link w:val="45"/>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tabs>
        <w:tab w:val="left" w:pos="420"/>
        <w:tab w:val="right" w:leader="dot" w:pos="8296"/>
      </w:tabs>
      <w:spacing w:before="240" w:after="120"/>
      <w:jc w:val="left"/>
    </w:pPr>
    <w:rPr>
      <w:b/>
      <w:bCs/>
      <w:sz w:val="24"/>
      <w:szCs w:val="20"/>
    </w:rPr>
  </w:style>
  <w:style w:type="paragraph" w:styleId="17">
    <w:name w:val="footnote text"/>
    <w:basedOn w:val="1"/>
    <w:link w:val="79"/>
    <w:semiHidden/>
    <w:unhideWhenUsed/>
    <w:qFormat/>
    <w:uiPriority w:val="99"/>
    <w:pPr>
      <w:spacing w:line="240" w:lineRule="auto"/>
    </w:pPr>
    <w:rPr>
      <w:szCs w:val="20"/>
    </w:rPr>
  </w:style>
  <w:style w:type="paragraph" w:styleId="18">
    <w:name w:val="toc 2"/>
    <w:basedOn w:val="1"/>
    <w:next w:val="1"/>
    <w:unhideWhenUsed/>
    <w:qFormat/>
    <w:uiPriority w:val="39"/>
    <w:pPr>
      <w:tabs>
        <w:tab w:val="left" w:pos="880"/>
        <w:tab w:val="right" w:leader="dot" w:pos="8296"/>
      </w:tabs>
      <w:spacing w:before="120"/>
      <w:ind w:left="210"/>
      <w:jc w:val="left"/>
    </w:pPr>
    <w:rPr>
      <w:i/>
      <w:iCs/>
      <w:sz w:val="21"/>
      <w:szCs w:val="20"/>
    </w:rPr>
  </w:style>
  <w:style w:type="paragraph" w:styleId="19">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20">
    <w:name w:val="annotation subject"/>
    <w:basedOn w:val="11"/>
    <w:next w:val="11"/>
    <w:link w:val="57"/>
    <w:semiHidden/>
    <w:unhideWhenUsed/>
    <w:qFormat/>
    <w:uiPriority w:val="99"/>
    <w:rPr>
      <w:b/>
      <w:bCs/>
    </w:r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bCs/>
    </w:rPr>
  </w:style>
  <w:style w:type="character" w:styleId="25">
    <w:name w:val="FollowedHyperlink"/>
    <w:basedOn w:val="23"/>
    <w:semiHidden/>
    <w:unhideWhenUsed/>
    <w:qFormat/>
    <w:uiPriority w:val="99"/>
    <w:rPr>
      <w:color w:val="954F72" w:themeColor="followedHyperlink"/>
      <w:u w:val="single"/>
      <w14:textFill>
        <w14:solidFill>
          <w14:schemeClr w14:val="folHlink"/>
        </w14:solidFill>
      </w14:textFill>
    </w:rPr>
  </w:style>
  <w:style w:type="character" w:styleId="26">
    <w:name w:val="Emphasis"/>
    <w:basedOn w:val="23"/>
    <w:qFormat/>
    <w:uiPriority w:val="20"/>
    <w:rPr>
      <w:i/>
      <w:iCs/>
    </w:rPr>
  </w:style>
  <w:style w:type="character" w:styleId="27">
    <w:name w:val="Hyperlink"/>
    <w:basedOn w:val="23"/>
    <w:unhideWhenUsed/>
    <w:qFormat/>
    <w:uiPriority w:val="99"/>
    <w:rPr>
      <w:color w:val="0563C1" w:themeColor="hyperlink"/>
      <w:u w:val="single"/>
      <w14:textFill>
        <w14:solidFill>
          <w14:schemeClr w14:val="hlink"/>
        </w14:solidFill>
      </w14:textFill>
    </w:rPr>
  </w:style>
  <w:style w:type="character" w:styleId="28">
    <w:name w:val="annotation reference"/>
    <w:basedOn w:val="23"/>
    <w:semiHidden/>
    <w:unhideWhenUsed/>
    <w:qFormat/>
    <w:uiPriority w:val="99"/>
    <w:rPr>
      <w:sz w:val="21"/>
      <w:szCs w:val="21"/>
    </w:rPr>
  </w:style>
  <w:style w:type="character" w:styleId="29">
    <w:name w:val="footnote reference"/>
    <w:basedOn w:val="23"/>
    <w:semiHidden/>
    <w:unhideWhenUsed/>
    <w:qFormat/>
    <w:uiPriority w:val="99"/>
    <w:rPr>
      <w:vertAlign w:val="superscript"/>
    </w:rPr>
  </w:style>
  <w:style w:type="character" w:customStyle="1" w:styleId="30">
    <w:name w:val="标题 2 字符"/>
    <w:basedOn w:val="23"/>
    <w:link w:val="3"/>
    <w:qFormat/>
    <w:uiPriority w:val="9"/>
    <w:rPr>
      <w:rFonts w:asciiTheme="majorHAnsi" w:hAnsiTheme="majorHAnsi" w:eastAsiaTheme="majorEastAsia" w:cstheme="majorBidi"/>
      <w:b/>
      <w:bCs/>
      <w:color w:val="F0463C"/>
      <w:kern w:val="2"/>
      <w:sz w:val="32"/>
      <w:szCs w:val="32"/>
    </w:rPr>
  </w:style>
  <w:style w:type="paragraph" w:customStyle="1" w:styleId="31">
    <w:name w:val="列出段落11"/>
    <w:basedOn w:val="1"/>
    <w:qFormat/>
    <w:uiPriority w:val="34"/>
    <w:rPr>
      <w:rFonts w:ascii="Times New Roman" w:hAnsi="Times New Roman" w:eastAsia="宋体" w:cs="Times New Roman"/>
      <w:szCs w:val="20"/>
    </w:rPr>
  </w:style>
  <w:style w:type="character" w:customStyle="1" w:styleId="32">
    <w:name w:val="标题 1 字符"/>
    <w:basedOn w:val="23"/>
    <w:link w:val="2"/>
    <w:qFormat/>
    <w:uiPriority w:val="9"/>
    <w:rPr>
      <w:rFonts w:ascii="微软雅黑" w:hAnsi="微软雅黑" w:eastAsia="微软雅黑"/>
      <w:b/>
      <w:bCs/>
      <w:color w:val="F0463C"/>
      <w:kern w:val="44"/>
      <w:sz w:val="44"/>
      <w:szCs w:val="44"/>
    </w:rPr>
  </w:style>
  <w:style w:type="paragraph" w:styleId="33">
    <w:name w:val="List Paragraph"/>
    <w:basedOn w:val="1"/>
    <w:link w:val="38"/>
    <w:qFormat/>
    <w:uiPriority w:val="99"/>
    <w:pPr>
      <w:ind w:firstLine="420" w:firstLineChars="200"/>
    </w:pPr>
  </w:style>
  <w:style w:type="paragraph" w:customStyle="1" w:styleId="34">
    <w:name w:val="普通正文"/>
    <w:basedOn w:val="1"/>
    <w:link w:val="36"/>
    <w:qFormat/>
    <w:uiPriority w:val="0"/>
    <w:pPr>
      <w:spacing w:line="420" w:lineRule="exact"/>
      <w:ind w:firstLine="471"/>
    </w:pPr>
    <w:rPr>
      <w:rFonts w:cs="微软雅黑"/>
      <w:color w:val="000000" w:themeColor="text1"/>
      <w:sz w:val="24"/>
      <w:szCs w:val="21"/>
      <w14:textFill>
        <w14:solidFill>
          <w14:schemeClr w14:val="tx1"/>
        </w14:solidFill>
      </w14:textFill>
    </w:rPr>
  </w:style>
  <w:style w:type="paragraph" w:customStyle="1" w:styleId="35">
    <w:name w:val="符号正文"/>
    <w:basedOn w:val="33"/>
    <w:link w:val="39"/>
    <w:qFormat/>
    <w:uiPriority w:val="0"/>
    <w:pPr>
      <w:numPr>
        <w:ilvl w:val="0"/>
        <w:numId w:val="2"/>
      </w:numPr>
      <w:spacing w:line="240" w:lineRule="auto"/>
      <w:ind w:firstLine="0" w:firstLineChars="0"/>
    </w:pPr>
    <w:rPr>
      <w:rFonts w:eastAsia="微软雅黑" w:cs="微软雅黑"/>
      <w:sz w:val="24"/>
      <w:szCs w:val="21"/>
    </w:rPr>
  </w:style>
  <w:style w:type="character" w:customStyle="1" w:styleId="36">
    <w:name w:val="普通正文 字符"/>
    <w:basedOn w:val="23"/>
    <w:link w:val="34"/>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37">
    <w:name w:val="二级标题1"/>
    <w:basedOn w:val="3"/>
    <w:next w:val="34"/>
    <w:link w:val="41"/>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38">
    <w:name w:val="列表段落 字符"/>
    <w:basedOn w:val="23"/>
    <w:link w:val="33"/>
    <w:qFormat/>
    <w:uiPriority w:val="99"/>
  </w:style>
  <w:style w:type="character" w:customStyle="1" w:styleId="39">
    <w:name w:val="符号正文 字符"/>
    <w:basedOn w:val="38"/>
    <w:link w:val="35"/>
    <w:qFormat/>
    <w:uiPriority w:val="0"/>
    <w:rPr>
      <w:rFonts w:ascii="思源黑体 CN Regular" w:hAnsi="思源黑体 CN Regular" w:eastAsia="微软雅黑" w:cs="微软雅黑"/>
      <w:kern w:val="2"/>
      <w:sz w:val="24"/>
      <w:szCs w:val="21"/>
    </w:rPr>
  </w:style>
  <w:style w:type="paragraph" w:customStyle="1" w:styleId="40">
    <w:name w:val="一级标题"/>
    <w:basedOn w:val="2"/>
    <w:link w:val="43"/>
    <w:qFormat/>
    <w:uiPriority w:val="0"/>
    <w:pPr>
      <w:numPr>
        <w:ilvl w:val="0"/>
        <w:numId w:val="3"/>
      </w:numPr>
    </w:pPr>
    <w:rPr>
      <w:rFonts w:ascii="思源黑体 CN Heavy" w:hAnsi="思源黑体 CN Heavy" w:eastAsia="思源黑体 CN Heavy"/>
      <w:color w:val="E6233C"/>
    </w:rPr>
  </w:style>
  <w:style w:type="character" w:customStyle="1" w:styleId="41">
    <w:name w:val="二级标题1 Char"/>
    <w:basedOn w:val="30"/>
    <w:link w:val="37"/>
    <w:qFormat/>
    <w:uiPriority w:val="0"/>
    <w:rPr>
      <w:rFonts w:ascii="思源黑体 CN Heavy" w:hAnsi="思源黑体 CN Heavy" w:eastAsia="思源黑体 CN Heavy" w:cstheme="majorBidi"/>
      <w:color w:val="E6233C"/>
      <w:kern w:val="2"/>
      <w:sz w:val="32"/>
      <w:szCs w:val="32"/>
    </w:rPr>
  </w:style>
  <w:style w:type="paragraph" w:customStyle="1" w:styleId="42">
    <w:name w:val="三级标题"/>
    <w:basedOn w:val="34"/>
    <w:link w:val="44"/>
    <w:qFormat/>
    <w:uiPriority w:val="0"/>
    <w:pPr>
      <w:ind w:firstLine="0"/>
      <w:outlineLvl w:val="2"/>
    </w:pPr>
    <w:rPr>
      <w:b/>
      <w:color w:val="F0463C"/>
    </w:rPr>
  </w:style>
  <w:style w:type="character" w:customStyle="1" w:styleId="43">
    <w:name w:val="一级标题 字符"/>
    <w:basedOn w:val="32"/>
    <w:link w:val="40"/>
    <w:qFormat/>
    <w:uiPriority w:val="0"/>
    <w:rPr>
      <w:rFonts w:ascii="思源黑体 CN Heavy" w:hAnsi="思源黑体 CN Heavy" w:eastAsia="思源黑体 CN Heavy"/>
      <w:color w:val="E6233C"/>
      <w:kern w:val="44"/>
      <w:sz w:val="44"/>
      <w:szCs w:val="44"/>
    </w:rPr>
  </w:style>
  <w:style w:type="character" w:customStyle="1" w:styleId="44">
    <w:name w:val="三级标题 字符"/>
    <w:basedOn w:val="36"/>
    <w:link w:val="42"/>
    <w:qFormat/>
    <w:uiPriority w:val="0"/>
    <w:rPr>
      <w:rFonts w:ascii="微软雅黑" w:hAnsi="微软雅黑" w:eastAsia="微软雅黑" w:cs="微软雅黑"/>
      <w:b/>
      <w:color w:val="F0463C"/>
      <w:kern w:val="2"/>
      <w:sz w:val="24"/>
      <w:szCs w:val="21"/>
    </w:rPr>
  </w:style>
  <w:style w:type="character" w:customStyle="1" w:styleId="45">
    <w:name w:val="页眉 字符"/>
    <w:basedOn w:val="23"/>
    <w:link w:val="15"/>
    <w:qFormat/>
    <w:uiPriority w:val="99"/>
    <w:rPr>
      <w:sz w:val="18"/>
      <w:szCs w:val="18"/>
    </w:rPr>
  </w:style>
  <w:style w:type="character" w:customStyle="1" w:styleId="46">
    <w:name w:val="页脚 字符"/>
    <w:basedOn w:val="23"/>
    <w:link w:val="14"/>
    <w:qFormat/>
    <w:uiPriority w:val="99"/>
    <w:rPr>
      <w:sz w:val="18"/>
      <w:szCs w:val="18"/>
    </w:rPr>
  </w:style>
  <w:style w:type="paragraph" w:customStyle="1" w:styleId="47">
    <w:name w:val="三级标题1"/>
    <w:basedOn w:val="42"/>
    <w:link w:val="48"/>
    <w:qFormat/>
    <w:uiPriority w:val="0"/>
    <w:pPr>
      <w:numPr>
        <w:ilvl w:val="2"/>
        <w:numId w:val="4"/>
      </w:numPr>
    </w:pPr>
  </w:style>
  <w:style w:type="character" w:customStyle="1" w:styleId="48">
    <w:name w:val="三级标题1 字符"/>
    <w:basedOn w:val="44"/>
    <w:link w:val="47"/>
    <w:qFormat/>
    <w:uiPriority w:val="0"/>
    <w:rPr>
      <w:rFonts w:ascii="思源黑体 CN Regular" w:hAnsi="思源黑体 CN Regular" w:eastAsia="思源黑体 CN Regular" w:cs="微软雅黑"/>
      <w:color w:val="F0463C"/>
      <w:kern w:val="2"/>
      <w:sz w:val="24"/>
      <w:szCs w:val="21"/>
    </w:rPr>
  </w:style>
  <w:style w:type="paragraph" w:customStyle="1" w:styleId="49">
    <w:name w:val="11"/>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50">
    <w:name w:val="inline-comment-marker"/>
    <w:basedOn w:val="23"/>
    <w:qFormat/>
    <w:uiPriority w:val="0"/>
  </w:style>
  <w:style w:type="paragraph" w:customStyle="1" w:styleId="51">
    <w:name w:val="规则"/>
    <w:basedOn w:val="52"/>
    <w:link w:val="53"/>
    <w:qFormat/>
    <w:uiPriority w:val="0"/>
    <w:pPr>
      <w:numPr>
        <w:ilvl w:val="0"/>
        <w:numId w:val="5"/>
      </w:numPr>
    </w:pPr>
    <w:rPr>
      <w:rFonts w:cs="Arial"/>
      <w14:scene3d>
        <w14:lightRig w14:rig="threePt" w14:dir="t">
          <w14:rot w14:lat="0" w14:lon="0" w14:rev="0"/>
        </w14:lightRig>
      </w14:scene3d>
    </w:rPr>
  </w:style>
  <w:style w:type="paragraph" w:customStyle="1" w:styleId="52">
    <w:name w:val="技术规范"/>
    <w:basedOn w:val="1"/>
    <w:link w:val="68"/>
    <w:qFormat/>
    <w:uiPriority w:val="0"/>
    <w:pPr>
      <w:numPr>
        <w:ilvl w:val="0"/>
        <w:numId w:val="6"/>
      </w:numPr>
      <w:spacing w:line="420" w:lineRule="exact"/>
      <w:ind w:left="0" w:firstLine="200" w:firstLineChars="200"/>
    </w:pPr>
    <w:rPr>
      <w:rFonts w:cs="微软雅黑"/>
      <w:sz w:val="24"/>
      <w:szCs w:val="21"/>
      <w:lang w:val="en-GB"/>
    </w:rPr>
  </w:style>
  <w:style w:type="character" w:customStyle="1" w:styleId="53">
    <w:name w:val="规则 Char1"/>
    <w:basedOn w:val="23"/>
    <w:link w:val="51"/>
    <w:qFormat/>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54">
    <w:name w:val="批注框文本 字符"/>
    <w:basedOn w:val="23"/>
    <w:link w:val="13"/>
    <w:semiHidden/>
    <w:qFormat/>
    <w:uiPriority w:val="99"/>
    <w:rPr>
      <w:sz w:val="18"/>
      <w:szCs w:val="18"/>
    </w:rPr>
  </w:style>
  <w:style w:type="character" w:customStyle="1" w:styleId="55">
    <w:name w:val="不明显强调1"/>
    <w:basedOn w:val="23"/>
    <w:qFormat/>
    <w:uiPriority w:val="19"/>
    <w:rPr>
      <w:i/>
      <w:iCs/>
      <w:color w:val="404040" w:themeColor="text1" w:themeTint="BF"/>
      <w14:textFill>
        <w14:solidFill>
          <w14:schemeClr w14:val="tx1">
            <w14:lumMod w14:val="75000"/>
            <w14:lumOff w14:val="25000"/>
          </w14:schemeClr>
        </w14:solidFill>
      </w14:textFill>
    </w:rPr>
  </w:style>
  <w:style w:type="character" w:customStyle="1" w:styleId="56">
    <w:name w:val="批注文字 字符"/>
    <w:basedOn w:val="23"/>
    <w:link w:val="11"/>
    <w:semiHidden/>
    <w:qFormat/>
    <w:uiPriority w:val="99"/>
  </w:style>
  <w:style w:type="character" w:customStyle="1" w:styleId="57">
    <w:name w:val="批注主题 字符"/>
    <w:basedOn w:val="56"/>
    <w:link w:val="20"/>
    <w:semiHidden/>
    <w:qFormat/>
    <w:uiPriority w:val="99"/>
    <w:rPr>
      <w:b/>
      <w:bCs/>
    </w:rPr>
  </w:style>
  <w:style w:type="paragraph" w:customStyle="1" w:styleId="58">
    <w:name w:val="任务"/>
    <w:basedOn w:val="52"/>
    <w:link w:val="59"/>
    <w:qFormat/>
    <w:uiPriority w:val="0"/>
    <w:pPr>
      <w:numPr>
        <w:ilvl w:val="0"/>
        <w:numId w:val="7"/>
      </w:numPr>
    </w:pPr>
    <w:rPr>
      <w:rFonts w:ascii="思源黑体 CN Heavy" w:hAnsi="思源黑体 CN Heavy" w:eastAsia="思源黑体 CN Heavy"/>
      <w:b/>
      <w14:scene3d>
        <w14:lightRig w14:rig="threePt" w14:dir="t">
          <w14:rot w14:lat="0" w14:lon="0" w14:rev="0"/>
        </w14:lightRig>
      </w14:scene3d>
    </w:rPr>
  </w:style>
  <w:style w:type="character" w:customStyle="1" w:styleId="59">
    <w:name w:val="任务 Char"/>
    <w:basedOn w:val="23"/>
    <w:link w:val="58"/>
    <w:qFormat/>
    <w:uiPriority w:val="0"/>
    <w:rPr>
      <w:rFonts w:ascii="思源黑体 CN Heavy" w:hAnsi="思源黑体 CN Heavy" w:eastAsia="思源黑体 CN Heavy" w:cs="微软雅黑"/>
      <w:b/>
      <w:kern w:val="2"/>
      <w:sz w:val="24"/>
      <w:szCs w:val="21"/>
      <w:lang w:val="en-GB"/>
      <w14:scene3d>
        <w14:lightRig w14:rig="threePt" w14:dir="t">
          <w14:rot w14:lat="0" w14:lon="0" w14:rev="0"/>
        </w14:lightRig>
      </w14:scene3d>
    </w:rPr>
  </w:style>
  <w:style w:type="paragraph" w:customStyle="1" w:styleId="60">
    <w:name w:val="Default"/>
    <w:qForma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61">
    <w:name w:val="标题 3 字符"/>
    <w:basedOn w:val="23"/>
    <w:link w:val="4"/>
    <w:semiHidden/>
    <w:qFormat/>
    <w:uiPriority w:val="9"/>
    <w:rPr>
      <w:rFonts w:asciiTheme="majorHAnsi" w:hAnsiTheme="majorHAnsi" w:eastAsiaTheme="majorEastAsia" w:cstheme="majorBidi"/>
      <w:color w:val="1F4E79" w:themeColor="accent1" w:themeShade="80"/>
      <w:sz w:val="24"/>
      <w:szCs w:val="24"/>
    </w:rPr>
  </w:style>
  <w:style w:type="character" w:customStyle="1" w:styleId="62">
    <w:name w:val="标题 5 字符"/>
    <w:basedOn w:val="23"/>
    <w:link w:val="6"/>
    <w:semiHidden/>
    <w:qFormat/>
    <w:uiPriority w:val="9"/>
    <w:rPr>
      <w:rFonts w:asciiTheme="majorHAnsi" w:hAnsiTheme="majorHAnsi" w:eastAsiaTheme="majorEastAsia" w:cstheme="majorBidi"/>
      <w:color w:val="2E75B6" w:themeColor="accent1" w:themeShade="BF"/>
    </w:rPr>
  </w:style>
  <w:style w:type="paragraph" w:customStyle="1" w:styleId="63">
    <w:name w:val="a"/>
    <w:basedOn w:val="1"/>
    <w:qFormat/>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4">
    <w:name w:val="ql-author-14022863"/>
    <w:basedOn w:val="23"/>
    <w:qFormat/>
    <w:uiPriority w:val="0"/>
  </w:style>
  <w:style w:type="character" w:customStyle="1" w:styleId="65">
    <w:name w:val="ql-author-13496091"/>
    <w:basedOn w:val="23"/>
    <w:qFormat/>
    <w:uiPriority w:val="0"/>
  </w:style>
  <w:style w:type="character" w:customStyle="1" w:styleId="66">
    <w:name w:val="ql-author-15805597"/>
    <w:basedOn w:val="23"/>
    <w:qFormat/>
    <w:uiPriority w:val="0"/>
  </w:style>
  <w:style w:type="paragraph" w:styleId="67">
    <w:name w:val="No Spacing"/>
    <w:basedOn w:val="1"/>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68">
    <w:name w:val="技术规范 Char"/>
    <w:basedOn w:val="23"/>
    <w:link w:val="52"/>
    <w:qFormat/>
    <w:uiPriority w:val="0"/>
    <w:rPr>
      <w:rFonts w:ascii="思源黑体 CN Regular" w:hAnsi="思源黑体 CN Regular" w:eastAsia="思源黑体 CN Regular" w:cs="微软雅黑"/>
      <w:kern w:val="2"/>
      <w:sz w:val="24"/>
      <w:szCs w:val="21"/>
      <w:lang w:val="en-GB"/>
    </w:rPr>
  </w:style>
  <w:style w:type="character" w:customStyle="1" w:styleId="69">
    <w:name w:val="标题 4 字符"/>
    <w:basedOn w:val="23"/>
    <w:link w:val="5"/>
    <w:semiHidden/>
    <w:qFormat/>
    <w:uiPriority w:val="9"/>
    <w:rPr>
      <w:rFonts w:asciiTheme="majorHAnsi" w:hAnsiTheme="majorHAnsi" w:eastAsiaTheme="majorEastAsia" w:cstheme="majorBidi"/>
      <w:b/>
      <w:bCs/>
      <w:sz w:val="28"/>
      <w:szCs w:val="28"/>
    </w:rPr>
  </w:style>
  <w:style w:type="character" w:customStyle="1" w:styleId="70">
    <w:name w:val="解释 Char"/>
    <w:basedOn w:val="39"/>
    <w:link w:val="71"/>
    <w:qFormat/>
    <w:uiPriority w:val="0"/>
    <w:rPr>
      <w:rFonts w:ascii="微软雅黑" w:hAnsi="微软雅黑" w:eastAsia="微软雅黑" w:cs="微软雅黑"/>
      <w:kern w:val="2"/>
      <w:sz w:val="24"/>
      <w:szCs w:val="21"/>
    </w:rPr>
  </w:style>
  <w:style w:type="paragraph" w:customStyle="1" w:styleId="71">
    <w:name w:val="解释"/>
    <w:basedOn w:val="35"/>
    <w:link w:val="70"/>
    <w:qFormat/>
    <w:uiPriority w:val="0"/>
    <w:pPr>
      <w:numPr>
        <w:numId w:val="0"/>
      </w:numPr>
      <w:ind w:left="1271" w:hanging="420"/>
    </w:pPr>
    <w:rPr>
      <w:rFonts w:ascii="微软雅黑" w:hAnsi="微软雅黑"/>
    </w:rPr>
  </w:style>
  <w:style w:type="character" w:customStyle="1" w:styleId="72">
    <w:name w:val="规则 Char"/>
    <w:basedOn w:val="36"/>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73">
    <w:name w:val="修订1"/>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4">
    <w:name w:val="网格表 5 深色 - 着色 51"/>
    <w:basedOn w:val="21"/>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5">
    <w:name w:val="无格式表格 31"/>
    <w:basedOn w:val="21"/>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6">
    <w:name w:val="清单表 7 彩色 - 着色 21"/>
    <w:basedOn w:val="21"/>
    <w:qFormat/>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7">
    <w:name w:val="标题1"/>
    <w:basedOn w:val="1"/>
    <w:link w:val="78"/>
    <w:qFormat/>
    <w:uiPriority w:val="0"/>
    <w:pPr>
      <w:spacing w:line="240" w:lineRule="auto"/>
      <w:jc w:val="center"/>
    </w:pPr>
    <w:rPr>
      <w:b/>
      <w:sz w:val="52"/>
      <w:szCs w:val="44"/>
    </w:rPr>
  </w:style>
  <w:style w:type="character" w:customStyle="1" w:styleId="78">
    <w:name w:val="标题 Char"/>
    <w:basedOn w:val="23"/>
    <w:link w:val="77"/>
    <w:qFormat/>
    <w:uiPriority w:val="0"/>
    <w:rPr>
      <w:rFonts w:ascii="思源黑体 CN Regular" w:hAnsi="思源黑体 CN Regular" w:eastAsia="思源黑体 CN Regular"/>
      <w:b/>
      <w:sz w:val="52"/>
      <w:szCs w:val="44"/>
    </w:rPr>
  </w:style>
  <w:style w:type="character" w:customStyle="1" w:styleId="79">
    <w:name w:val="脚注文本 字符"/>
    <w:basedOn w:val="23"/>
    <w:link w:val="17"/>
    <w:semiHidden/>
    <w:qFormat/>
    <w:uiPriority w:val="99"/>
    <w:rPr>
      <w:rFonts w:ascii="思源黑体 CN Regular" w:hAnsi="思源黑体 CN Regular"/>
      <w:sz w:val="20"/>
      <w:szCs w:val="20"/>
    </w:rPr>
  </w:style>
  <w:style w:type="character" w:customStyle="1" w:styleId="80">
    <w:name w:val="未处理的提及1"/>
    <w:basedOn w:val="23"/>
    <w:semiHidden/>
    <w:unhideWhenUsed/>
    <w:qFormat/>
    <w:uiPriority w:val="99"/>
    <w:rPr>
      <w:color w:val="605E5C"/>
      <w:shd w:val="clear" w:color="auto" w:fill="E1DFDD"/>
    </w:rPr>
  </w:style>
  <w:style w:type="character" w:customStyle="1" w:styleId="81">
    <w:name w:val="三级标题1 Char"/>
    <w:basedOn w:val="44"/>
    <w:qFormat/>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82">
    <w:name w:val="目录"/>
    <w:basedOn w:val="1"/>
    <w:link w:val="84"/>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83">
    <w:name w:val="一级 标题"/>
    <w:basedOn w:val="40"/>
    <w:link w:val="86"/>
    <w:qFormat/>
    <w:uiPriority w:val="0"/>
  </w:style>
  <w:style w:type="character" w:customStyle="1" w:styleId="84">
    <w:name w:val="目录 Char"/>
    <w:basedOn w:val="23"/>
    <w:link w:val="82"/>
    <w:qFormat/>
    <w:uiPriority w:val="0"/>
    <w:rPr>
      <w:rFonts w:ascii="思源黑体 CN Heavy" w:hAnsi="思源黑体 CN Heavy" w:eastAsia="思源黑体 CN Heavy" w:cs="微软雅黑"/>
      <w:b/>
      <w:color w:val="E6233C"/>
      <w:sz w:val="44"/>
      <w:szCs w:val="44"/>
    </w:rPr>
  </w:style>
  <w:style w:type="paragraph" w:customStyle="1" w:styleId="85">
    <w:name w:val="二级 标题"/>
    <w:basedOn w:val="37"/>
    <w:link w:val="87"/>
    <w:qFormat/>
    <w:uiPriority w:val="0"/>
  </w:style>
  <w:style w:type="character" w:customStyle="1" w:styleId="86">
    <w:name w:val="一级 标题 Char"/>
    <w:basedOn w:val="43"/>
    <w:link w:val="83"/>
    <w:qFormat/>
    <w:uiPriority w:val="0"/>
    <w:rPr>
      <w:rFonts w:ascii="思源黑体 CN Heavy" w:hAnsi="思源黑体 CN Heavy" w:eastAsia="思源黑体 CN Heavy"/>
      <w:color w:val="E6233C"/>
      <w:kern w:val="44"/>
      <w:sz w:val="44"/>
      <w:szCs w:val="44"/>
    </w:rPr>
  </w:style>
  <w:style w:type="character" w:customStyle="1" w:styleId="87">
    <w:name w:val="二级 标题 Char"/>
    <w:basedOn w:val="41"/>
    <w:link w:val="85"/>
    <w:qFormat/>
    <w:uiPriority w:val="0"/>
    <w:rPr>
      <w:rFonts w:ascii="思源黑体 CN Heavy" w:hAnsi="思源黑体 CN Heavy" w:eastAsia="思源黑体 CN Heavy" w:cstheme="majorBidi"/>
      <w:color w:val="E6233C"/>
      <w:kern w:val="2"/>
      <w:sz w:val="32"/>
      <w:szCs w:val="32"/>
    </w:rPr>
  </w:style>
  <w:style w:type="table" w:customStyle="1" w:styleId="88">
    <w:name w:val="网格表 4 - 着色 31"/>
    <w:basedOn w:val="21"/>
    <w:qFormat/>
    <w:uiPriority w:val="49"/>
    <w:rPr>
      <w:rFonts w:ascii="Times New Roman" w:hAnsi="Times New Roman" w:eastAsia="宋体" w:cs="Times New Roman"/>
    </w:rPr>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89">
    <w:name w:val="网格表 4 - 着色 11"/>
    <w:basedOn w:val="21"/>
    <w:qFormat/>
    <w:uiPriority w:val="49"/>
    <w:rPr>
      <w:rFonts w:ascii="Times New Roman" w:hAnsi="Times New Roman" w:eastAsia="宋体" w:cs="Times New Roman"/>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90">
    <w:name w:val="石墨文档正文"/>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91">
    <w:name w:val="清单表 3 - 着色 11"/>
    <w:basedOn w:val="21"/>
    <w:qFormat/>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92">
    <w:name w:val="技术"/>
    <w:basedOn w:val="71"/>
    <w:link w:val="93"/>
    <w:qFormat/>
    <w:uiPriority w:val="0"/>
    <w:pPr>
      <w:numPr>
        <w:ilvl w:val="0"/>
        <w:numId w:val="8"/>
      </w:numPr>
    </w:pPr>
  </w:style>
  <w:style w:type="character" w:customStyle="1" w:styleId="93">
    <w:name w:val="技术 Char"/>
    <w:basedOn w:val="70"/>
    <w:link w:val="92"/>
    <w:qFormat/>
    <w:uiPriority w:val="0"/>
    <w:rPr>
      <w:rFonts w:ascii="微软雅黑" w:hAnsi="微软雅黑" w:eastAsia="微软雅黑" w:cs="微软雅黑"/>
      <w:kern w:val="2"/>
      <w:sz w:val="24"/>
      <w:szCs w:val="21"/>
    </w:rPr>
  </w:style>
  <w:style w:type="paragraph" w:customStyle="1" w:styleId="94">
    <w:name w:val="CN规则"/>
    <w:basedOn w:val="51"/>
    <w:link w:val="95"/>
    <w:qFormat/>
    <w:uiPriority w:val="0"/>
    <w:pPr>
      <w:numPr>
        <w:ilvl w:val="0"/>
        <w:numId w:val="9"/>
      </w:numPr>
      <w:ind w:left="0" w:firstLine="200"/>
    </w:pPr>
  </w:style>
  <w:style w:type="character" w:customStyle="1" w:styleId="95">
    <w:name w:val="CN规则 Char"/>
    <w:basedOn w:val="53"/>
    <w:link w:val="94"/>
    <w:qFormat/>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96">
    <w:name w:val="Unresolved Mention"/>
    <w:basedOn w:val="23"/>
    <w:semiHidden/>
    <w:unhideWhenUsed/>
    <w:qFormat/>
    <w:uiPriority w:val="99"/>
    <w:rPr>
      <w:color w:val="605E5C"/>
      <w:shd w:val="clear" w:color="auto" w:fill="E1DFDD"/>
    </w:rPr>
  </w:style>
  <w:style w:type="paragraph" w:customStyle="1" w:styleId="97">
    <w:name w:val="E01"/>
    <w:basedOn w:val="1"/>
    <w:link w:val="98"/>
    <w:qFormat/>
    <w:uiPriority w:val="0"/>
    <w:pPr>
      <w:numPr>
        <w:ilvl w:val="0"/>
        <w:numId w:val="10"/>
      </w:numPr>
      <w:spacing w:line="420" w:lineRule="exact"/>
      <w:ind w:left="0" w:firstLine="200" w:firstLineChars="200"/>
    </w:pPr>
    <w:rPr>
      <w:sz w:val="24"/>
    </w:rPr>
  </w:style>
  <w:style w:type="character" w:customStyle="1" w:styleId="98">
    <w:name w:val="E01 字符"/>
    <w:basedOn w:val="36"/>
    <w:link w:val="97"/>
    <w:qFormat/>
    <w:uiPriority w:val="0"/>
    <w:rPr>
      <w:rFonts w:ascii="思源黑体 CN Regular" w:hAnsi="思源黑体 CN Regular" w:eastAsia="思源黑体 CN Regular" w:cs="微软雅黑"/>
      <w:color w:val="000000" w:themeColor="text1"/>
      <w:kern w:val="2"/>
      <w:sz w:val="24"/>
      <w:szCs w:val="22"/>
      <w14:textFill>
        <w14:solidFill>
          <w14:schemeClr w14:val="tx1"/>
        </w14:solidFill>
      </w14:textFill>
    </w:rPr>
  </w:style>
  <w:style w:type="character" w:styleId="99">
    <w:name w:val="Placeholder Text"/>
    <w:basedOn w:val="23"/>
    <w:semiHidden/>
    <w:qFormat/>
    <w:uiPriority w:val="99"/>
    <w:rPr>
      <w:color w:val="808080"/>
    </w:rPr>
  </w:style>
  <w:style w:type="paragraph" w:customStyle="1" w:styleId="100">
    <w:name w:val="Revision"/>
    <w:hidden/>
    <w:semiHidden/>
    <w:qFormat/>
    <w:uiPriority w:val="99"/>
    <w:rPr>
      <w:rFonts w:ascii="思源黑体 CN Regular" w:hAnsi="思源黑体 CN Regular" w:eastAsia="思源黑体 CN Regular" w:cstheme="minorBidi"/>
      <w:kern w:val="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2" Type="http://schemas.openxmlformats.org/officeDocument/2006/relationships/fontTable" Target="fontTable.xml"/><Relationship Id="rId71" Type="http://schemas.openxmlformats.org/officeDocument/2006/relationships/customXml" Target="../customXml/item2.xml"/><Relationship Id="rId70" Type="http://schemas.openxmlformats.org/officeDocument/2006/relationships/numbering" Target="numbering.xml"/><Relationship Id="rId7" Type="http://schemas.openxmlformats.org/officeDocument/2006/relationships/header" Target="header3.xml"/><Relationship Id="rId69" Type="http://schemas.openxmlformats.org/officeDocument/2006/relationships/customXml" Target="../customXml/item1.xml"/><Relationship Id="rId68" Type="http://schemas.openxmlformats.org/officeDocument/2006/relationships/image" Target="media/image55.png"/><Relationship Id="rId67" Type="http://schemas.openxmlformats.org/officeDocument/2006/relationships/image" Target="media/image54.png"/><Relationship Id="rId66" Type="http://schemas.openxmlformats.org/officeDocument/2006/relationships/image" Target="media/image53.png"/><Relationship Id="rId65" Type="http://schemas.openxmlformats.org/officeDocument/2006/relationships/image" Target="media/image52.png"/><Relationship Id="rId64" Type="http://schemas.openxmlformats.org/officeDocument/2006/relationships/image" Target="media/image51.png"/><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2.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93"/>
    <customShpInfo spid="_x0000_s1096"/>
    <customShpInfo spid="_x0000_s1050"/>
    <customShpInfo spid="_x0000_s1095"/>
    <customShpInfo spid="_x0000_s1033"/>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89726B-54C0-4AFB-85B5-7CA8CBF52448}">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52</Pages>
  <Words>4400</Words>
  <Characters>5245</Characters>
  <Lines>506</Lines>
  <Paragraphs>635</Paragraphs>
  <TotalTime>18</TotalTime>
  <ScaleCrop>false</ScaleCrop>
  <LinksUpToDate>false</LinksUpToDate>
  <CharactersWithSpaces>5325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2025-09-27T14:44:00Z</dcterms:created>
  <dc:creator>MakeX组委会</dc:creator>
  <cp:keywords>MakeX组委会</cp:keywords>
  <cp:lastModifiedBy>郑可赏</cp:lastModifiedBy>
  <cp:lastPrinted>2025-02-06T03:01:00Z</cp:lastPrinted>
  <dcterms:modified xsi:type="dcterms:W3CDTF">2025-11-18T08:24:29Z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eyJoZGlkIjoiYjdiNmMyNGIzNmJhZjZiODcyODJlZDg5ZjMzMGY4ZWMiLCJ1c2VySWQiOiIxNDEzNjU1NDUwIn0=</vt:lpwstr>
  </property>
  <property fmtid="{D5CDD505-2E9C-101B-9397-08002B2CF9AE}" pid="4" name="ICV">
    <vt:lpwstr>1B73A95A0FB64ABD8DA6E7BCCDEE0D93_13</vt:lpwstr>
  </property>
</Properties>
</file>